
<file path=[Content_Types].xml><?xml version="1.0" encoding="utf-8"?>
<Types xmlns="http://schemas.openxmlformats.org/package/2006/content-types">
  <Default Extension="emf" ContentType="image/x-emf"/>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AC3271" w14:textId="5A863CE6" w:rsidR="00D22BEE" w:rsidRDefault="00D22BEE" w:rsidP="00D22BEE">
      <w:pPr>
        <w:spacing w:after="0" w:line="240" w:lineRule="auto"/>
        <w:rPr>
          <w:rFonts w:ascii="Calibri" w:eastAsia="SimSun" w:hAnsi="Calibri" w:cs="Calibri"/>
          <w:sz w:val="32"/>
          <w:szCs w:val="32"/>
        </w:rPr>
      </w:pPr>
      <w:r w:rsidRPr="00D22BEE">
        <w:rPr>
          <w:rFonts w:ascii="Calibri" w:eastAsia="SimSun" w:hAnsi="Calibri" w:cs="Calibri"/>
          <w:sz w:val="32"/>
          <w:szCs w:val="32"/>
        </w:rPr>
        <w:t xml:space="preserve">Rakennusneuvos Pekka Rajajärvi </w:t>
      </w:r>
    </w:p>
    <w:p w14:paraId="6ADB3CA3" w14:textId="7BDF720B" w:rsidR="002974A0" w:rsidRDefault="002974A0" w:rsidP="00D22BEE">
      <w:pPr>
        <w:spacing w:after="0" w:line="240" w:lineRule="auto"/>
        <w:rPr>
          <w:rFonts w:ascii="Calibri" w:eastAsia="SimSun" w:hAnsi="Calibri" w:cs="Calibri"/>
          <w:sz w:val="32"/>
          <w:szCs w:val="32"/>
        </w:rPr>
      </w:pPr>
      <w:r>
        <w:rPr>
          <w:rFonts w:ascii="Calibri" w:eastAsia="SimSun" w:hAnsi="Calibri" w:cs="Calibri"/>
          <w:sz w:val="32"/>
          <w:szCs w:val="32"/>
        </w:rPr>
        <w:t xml:space="preserve">Monontie </w:t>
      </w:r>
      <w:proofErr w:type="gramStart"/>
      <w:r>
        <w:rPr>
          <w:rFonts w:ascii="Calibri" w:eastAsia="SimSun" w:hAnsi="Calibri" w:cs="Calibri"/>
          <w:sz w:val="32"/>
          <w:szCs w:val="32"/>
        </w:rPr>
        <w:t>12  19210</w:t>
      </w:r>
      <w:proofErr w:type="gramEnd"/>
      <w:r>
        <w:rPr>
          <w:rFonts w:ascii="Calibri" w:eastAsia="SimSun" w:hAnsi="Calibri" w:cs="Calibri"/>
          <w:sz w:val="32"/>
          <w:szCs w:val="32"/>
        </w:rPr>
        <w:t xml:space="preserve"> LUSI</w:t>
      </w:r>
    </w:p>
    <w:p w14:paraId="6D468BDB" w14:textId="1F62807C" w:rsidR="00D22BEE" w:rsidRDefault="00D22BEE" w:rsidP="00D22BEE">
      <w:pPr>
        <w:spacing w:after="0" w:line="240" w:lineRule="auto"/>
        <w:rPr>
          <w:rFonts w:ascii="Calibri" w:eastAsia="SimSun" w:hAnsi="Calibri" w:cs="Calibri"/>
          <w:sz w:val="32"/>
          <w:szCs w:val="32"/>
        </w:rPr>
      </w:pPr>
      <w:r>
        <w:rPr>
          <w:rFonts w:ascii="Calibri" w:eastAsia="SimSun" w:hAnsi="Calibri" w:cs="Calibri"/>
          <w:sz w:val="32"/>
          <w:szCs w:val="32"/>
        </w:rPr>
        <w:t>040 7268 260</w:t>
      </w:r>
    </w:p>
    <w:p w14:paraId="20E7D4D0" w14:textId="3C67C930" w:rsidR="00D22BEE" w:rsidRDefault="002974A0" w:rsidP="00D22BEE">
      <w:pPr>
        <w:spacing w:after="0" w:line="240" w:lineRule="auto"/>
        <w:rPr>
          <w:rFonts w:ascii="Calibri" w:eastAsia="SimSun" w:hAnsi="Calibri" w:cs="Calibri"/>
          <w:sz w:val="32"/>
          <w:szCs w:val="32"/>
        </w:rPr>
      </w:pPr>
      <w:hyperlink r:id="rId4" w:history="1">
        <w:r w:rsidRPr="004257EB">
          <w:rPr>
            <w:rStyle w:val="Hyperlinkki"/>
            <w:rFonts w:ascii="Calibri" w:eastAsia="SimSun" w:hAnsi="Calibri" w:cs="Calibri"/>
            <w:sz w:val="32"/>
            <w:szCs w:val="32"/>
          </w:rPr>
          <w:t>pekka.rajajarvi@hotmail.fi</w:t>
        </w:r>
      </w:hyperlink>
    </w:p>
    <w:p w14:paraId="61638058" w14:textId="749E14EB" w:rsidR="002974A0" w:rsidRPr="002974A0" w:rsidRDefault="002974A0" w:rsidP="00D22BEE">
      <w:pPr>
        <w:spacing w:after="0" w:line="240" w:lineRule="auto"/>
        <w:rPr>
          <w:rFonts w:ascii="Calibri" w:eastAsia="SimSun" w:hAnsi="Calibri" w:cs="Calibri"/>
          <w:sz w:val="20"/>
          <w:szCs w:val="20"/>
        </w:rPr>
      </w:pPr>
    </w:p>
    <w:p w14:paraId="6F957D72" w14:textId="65E81A14" w:rsidR="002974A0" w:rsidRPr="00D22BEE" w:rsidRDefault="002974A0" w:rsidP="00D22BEE">
      <w:pPr>
        <w:spacing w:after="0" w:line="240" w:lineRule="auto"/>
        <w:rPr>
          <w:rFonts w:ascii="Calibri" w:eastAsia="SimSun" w:hAnsi="Calibri" w:cs="Calibri"/>
          <w:sz w:val="32"/>
          <w:szCs w:val="32"/>
        </w:rPr>
      </w:pPr>
      <w:r>
        <w:rPr>
          <w:rFonts w:ascii="Calibri" w:eastAsia="SimSun" w:hAnsi="Calibri" w:cs="Calibri"/>
          <w:sz w:val="32"/>
          <w:szCs w:val="32"/>
        </w:rPr>
        <w:t>24.11.2020</w:t>
      </w:r>
    </w:p>
    <w:p w14:paraId="2A0A0443" w14:textId="77777777" w:rsidR="00D22BEE" w:rsidRPr="002974A0" w:rsidRDefault="00D22BEE" w:rsidP="00D22BEE">
      <w:pPr>
        <w:spacing w:after="200" w:line="276" w:lineRule="auto"/>
        <w:rPr>
          <w:rFonts w:ascii="Calibri" w:eastAsia="SimSun" w:hAnsi="Calibri" w:cs="Calibri"/>
          <w:sz w:val="24"/>
          <w:szCs w:val="24"/>
        </w:rPr>
      </w:pPr>
    </w:p>
    <w:p w14:paraId="3717DECF" w14:textId="64479AC9" w:rsidR="00D22BEE" w:rsidRPr="00D22BEE" w:rsidRDefault="00D22BEE" w:rsidP="00D22BEE">
      <w:pPr>
        <w:spacing w:after="200" w:line="276" w:lineRule="auto"/>
        <w:rPr>
          <w:rFonts w:ascii="Calibri" w:eastAsia="SimSun" w:hAnsi="Calibri" w:cs="Calibri"/>
          <w:b/>
          <w:bCs/>
          <w:sz w:val="32"/>
          <w:szCs w:val="32"/>
        </w:rPr>
      </w:pPr>
      <w:r w:rsidRPr="00D22BEE">
        <w:rPr>
          <w:rFonts w:ascii="Calibri" w:eastAsia="SimSun" w:hAnsi="Calibri" w:cs="Calibri"/>
          <w:b/>
          <w:bCs/>
          <w:sz w:val="32"/>
          <w:szCs w:val="32"/>
        </w:rPr>
        <w:t>Suojelukohteiden eri vaiheet 1937 -2011</w:t>
      </w:r>
    </w:p>
    <w:p w14:paraId="13DB4C90" w14:textId="310D6DB7" w:rsidR="00851F08" w:rsidRPr="005909D4" w:rsidRDefault="005909D4" w:rsidP="00851F08">
      <w:pPr>
        <w:jc w:val="both"/>
        <w:rPr>
          <w:sz w:val="24"/>
          <w:szCs w:val="24"/>
        </w:rPr>
      </w:pPr>
      <w:r w:rsidRPr="005909D4">
        <w:rPr>
          <w:sz w:val="24"/>
          <w:szCs w:val="24"/>
        </w:rPr>
        <w:t>Liitteenä erillinen taulukko</w:t>
      </w:r>
      <w:r>
        <w:rPr>
          <w:sz w:val="24"/>
          <w:szCs w:val="24"/>
        </w:rPr>
        <w:t xml:space="preserve">, jossa kunnat ovat </w:t>
      </w:r>
      <w:proofErr w:type="spellStart"/>
      <w:r>
        <w:rPr>
          <w:sz w:val="24"/>
          <w:szCs w:val="24"/>
        </w:rPr>
        <w:t>akkosjärjestyksessä</w:t>
      </w:r>
      <w:proofErr w:type="spellEnd"/>
      <w:r>
        <w:rPr>
          <w:sz w:val="24"/>
          <w:szCs w:val="24"/>
        </w:rPr>
        <w:t xml:space="preserve">, oikeassa yläreunassa on lyhyt selostus värien merkityksestä. Kaiken kaikkiaan suojelukohteina ehti olla 151 kuntaa tai sen osaa. </w:t>
      </w:r>
      <w:r w:rsidR="009C63BD">
        <w:rPr>
          <w:sz w:val="24"/>
          <w:szCs w:val="24"/>
        </w:rPr>
        <w:t xml:space="preserve">Kahdessa muussa </w:t>
      </w:r>
      <w:r>
        <w:rPr>
          <w:sz w:val="24"/>
          <w:szCs w:val="24"/>
        </w:rPr>
        <w:t xml:space="preserve">liitteessä on esitetty </w:t>
      </w:r>
      <w:r w:rsidR="009C63BD">
        <w:rPr>
          <w:sz w:val="24"/>
          <w:szCs w:val="24"/>
        </w:rPr>
        <w:t>vanhojen suojelukohdekuntien suojamäärät.</w:t>
      </w:r>
    </w:p>
    <w:p w14:paraId="35455A1E" w14:textId="77777777" w:rsidR="00851F08" w:rsidRPr="00851F08" w:rsidRDefault="0078090E" w:rsidP="00851F08">
      <w:pPr>
        <w:jc w:val="both"/>
        <w:rPr>
          <w:b/>
          <w:bCs/>
          <w:sz w:val="24"/>
          <w:szCs w:val="24"/>
        </w:rPr>
      </w:pPr>
      <w:r w:rsidRPr="00851F08">
        <w:rPr>
          <w:b/>
          <w:bCs/>
          <w:sz w:val="24"/>
          <w:szCs w:val="24"/>
        </w:rPr>
        <w:t xml:space="preserve">Suojelukohdekunnat 1937 </w:t>
      </w:r>
    </w:p>
    <w:p w14:paraId="5E9BE833" w14:textId="2F24E3D6" w:rsidR="007A19B3" w:rsidRPr="00851F08" w:rsidRDefault="0078090E" w:rsidP="00851F08">
      <w:pPr>
        <w:jc w:val="both"/>
        <w:rPr>
          <w:sz w:val="24"/>
          <w:szCs w:val="24"/>
        </w:rPr>
      </w:pPr>
      <w:r w:rsidRPr="00851F08">
        <w:rPr>
          <w:sz w:val="24"/>
          <w:szCs w:val="24"/>
        </w:rPr>
        <w:t xml:space="preserve">Sotilaspiirien esikuntien oli lähetettävä ehdotuksensa suojelualuejaoksi 15.10.1937 mennessä valtion väestönsuojelukeskukselle (VVK). Ehdotukset olivat eritasoisia ja aiheuttivat heti useita korjauksia. Ne antoivat kuitenkin hyvän pohjan </w:t>
      </w:r>
      <w:proofErr w:type="spellStart"/>
      <w:r w:rsidRPr="00851F08">
        <w:rPr>
          <w:sz w:val="24"/>
          <w:szCs w:val="24"/>
        </w:rPr>
        <w:t>VVK:n</w:t>
      </w:r>
      <w:proofErr w:type="spellEnd"/>
      <w:r w:rsidRPr="00851F08">
        <w:rPr>
          <w:sz w:val="24"/>
          <w:szCs w:val="24"/>
        </w:rPr>
        <w:t xml:space="preserve"> jatkosuunnittelulle. Se laati niiden perusteella lopullisen ehdotuksensa aluejaoksi ja kohteitten määrittelyksi sekä teollisuuden liittymiseksi tähän yleisjärjestelyyn. Väestönsuojelukomitea saattoi perustaa ehdotuksensa tähän aineistoon.</w:t>
      </w:r>
    </w:p>
    <w:p w14:paraId="203B4500" w14:textId="77777777" w:rsidR="007A19B3" w:rsidRPr="00851F08" w:rsidRDefault="0078090E" w:rsidP="00851F08">
      <w:pPr>
        <w:jc w:val="both"/>
        <w:rPr>
          <w:sz w:val="24"/>
          <w:szCs w:val="24"/>
        </w:rPr>
      </w:pPr>
      <w:r w:rsidRPr="00851F08">
        <w:rPr>
          <w:sz w:val="24"/>
          <w:szCs w:val="24"/>
        </w:rPr>
        <w:t>Kun mietintö oli jätetty valtioneuvostolle, VVK saattoi esittää puolustusministeriölle, että aluejako vahvistettaisiin. Se tapahtui puolustusministeriön kirjelmillä touko-kesäkuussa 1938. Vahvistus ilmoitettiin väliaikaiseksi. Sen sanottiin olevan voimassa siihen asti, kunnes tekeillä olevan väestönsuojelulain edellyttämät viranomaiset sen lopullisesti vahvistaisivat.</w:t>
      </w:r>
    </w:p>
    <w:p w14:paraId="7399490A" w14:textId="77777777" w:rsidR="007A19B3" w:rsidRPr="00851F08" w:rsidRDefault="0078090E" w:rsidP="00851F08">
      <w:pPr>
        <w:jc w:val="both"/>
        <w:rPr>
          <w:sz w:val="24"/>
          <w:szCs w:val="24"/>
        </w:rPr>
      </w:pPr>
      <w:r w:rsidRPr="00851F08">
        <w:rPr>
          <w:sz w:val="24"/>
          <w:szCs w:val="24"/>
        </w:rPr>
        <w:t>Aluejaon perustana oli lääni- ja nimismiespiirijako. Poikkeuksia tehtiin vain silloin, kun näiden rajat eivät yhtyneet sotilaspiirien rajoihin. Myös teollisuusseuduilla tehtiin nimismiespiirejä pienempiä alueita. Teollisuuden liittyminen yleiseen väestönsuojelujärjestelyyn määrättiin omalla kirjelmällään kunkin sotilaspiirin osalta.</w:t>
      </w:r>
    </w:p>
    <w:p w14:paraId="78FDD4C5" w14:textId="77777777" w:rsidR="007A19B3" w:rsidRPr="00851F08" w:rsidRDefault="0078090E" w:rsidP="00851F08">
      <w:pPr>
        <w:jc w:val="both"/>
        <w:rPr>
          <w:sz w:val="24"/>
          <w:szCs w:val="24"/>
        </w:rPr>
      </w:pPr>
      <w:r w:rsidRPr="00851F08">
        <w:rPr>
          <w:sz w:val="24"/>
          <w:szCs w:val="24"/>
        </w:rPr>
        <w:t xml:space="preserve">Kirjelmän mukaan sotilaspiirit toimivat toistaiseksi myös väestönsuojelupiireinä. Ainoastaan Ylä-Vuoksen teollisuusalueesta oli muodostettu erillinen väestönsuojelupiiri. Väestönsuojelualueita oli 248. Kun kuntia oli 569, tuli yhtä väestönsuojelualuetta kohti keskimäärin yli kaksi kuntaa. Alueista 44 määrättiin teollisuusalueiksi. Näissä väestönsuojelukeskus sijoitettaisiin teollisuuskohteisiin. </w:t>
      </w:r>
    </w:p>
    <w:p w14:paraId="568F65E7" w14:textId="77777777" w:rsidR="007A19B3" w:rsidRPr="00851F08" w:rsidRDefault="0078090E" w:rsidP="00851F08">
      <w:pPr>
        <w:jc w:val="both"/>
        <w:rPr>
          <w:sz w:val="24"/>
          <w:szCs w:val="24"/>
        </w:rPr>
      </w:pPr>
      <w:r w:rsidRPr="00851F08">
        <w:rPr>
          <w:sz w:val="24"/>
          <w:szCs w:val="24"/>
        </w:rPr>
        <w:t xml:space="preserve">Kirjelmässä määrättiin myös suojelukohteet: </w:t>
      </w:r>
    </w:p>
    <w:p w14:paraId="35451724" w14:textId="77777777" w:rsidR="007A19B3" w:rsidRPr="00851F08" w:rsidRDefault="0078090E" w:rsidP="00851F08">
      <w:pPr>
        <w:jc w:val="both"/>
        <w:rPr>
          <w:sz w:val="24"/>
          <w:szCs w:val="24"/>
        </w:rPr>
      </w:pPr>
      <w:r w:rsidRPr="00851F08">
        <w:rPr>
          <w:sz w:val="24"/>
          <w:szCs w:val="24"/>
        </w:rPr>
        <w:t xml:space="preserve">1. Ensimmäisen luokan suojelukohteita oli neljä: Helsinki, Turku, Viipuri ja Tampere. </w:t>
      </w:r>
    </w:p>
    <w:p w14:paraId="24EDF628" w14:textId="77777777" w:rsidR="007A19B3" w:rsidRPr="00851F08" w:rsidRDefault="0078090E" w:rsidP="00851F08">
      <w:pPr>
        <w:jc w:val="both"/>
        <w:rPr>
          <w:sz w:val="24"/>
          <w:szCs w:val="24"/>
        </w:rPr>
      </w:pPr>
      <w:r w:rsidRPr="00851F08">
        <w:rPr>
          <w:sz w:val="24"/>
          <w:szCs w:val="24"/>
        </w:rPr>
        <w:t>2. Toisen luokan suojelukohteita oli 88: 29 kaupunkia, 23 kauppalaa, 24 teollisuuskeskusta, jotka eivät olleet kauppaloita, Elisenvaaran ja Toijalan rautatieristeykset, Niinisalo ja Utti, jotka hoidettiin sotilasviranomaisten toimesta sekä kahdeksaan muuta paikkakuntaa.</w:t>
      </w:r>
    </w:p>
    <w:p w14:paraId="7138F18E" w14:textId="77777777" w:rsidR="007A19B3" w:rsidRPr="00851F08" w:rsidRDefault="0078090E" w:rsidP="00851F08">
      <w:pPr>
        <w:jc w:val="both"/>
        <w:rPr>
          <w:sz w:val="24"/>
          <w:szCs w:val="24"/>
        </w:rPr>
      </w:pPr>
      <w:r w:rsidRPr="00851F08">
        <w:rPr>
          <w:sz w:val="24"/>
          <w:szCs w:val="24"/>
        </w:rPr>
        <w:t xml:space="preserve"> 3. Kolmannen luokan suojelukohteita oli 359. Ryhmään kuului 5 pienintä kaupunkia ja kolme kauppalaa. Loput olivat taajaväkisiä yhdyskuntia, teollisuuskeskuksia, kirkonkyliä ja rautatieasemia. Kaikkiaan 1–3 luokan kohteita oli 451.</w:t>
      </w:r>
    </w:p>
    <w:p w14:paraId="4BFBF8DB" w14:textId="77777777" w:rsidR="007A19B3" w:rsidRPr="00851F08" w:rsidRDefault="0078090E" w:rsidP="00851F08">
      <w:pPr>
        <w:jc w:val="both"/>
        <w:rPr>
          <w:sz w:val="24"/>
          <w:szCs w:val="24"/>
        </w:rPr>
      </w:pPr>
      <w:r w:rsidRPr="00851F08">
        <w:rPr>
          <w:sz w:val="24"/>
          <w:szCs w:val="24"/>
        </w:rPr>
        <w:lastRenderedPageBreak/>
        <w:t xml:space="preserve"> Teollisuuskohteiksi oli määrätty 2. luokan kohteista 31 ja 3. luokan kohteista 96. Rautatiekohteitten määrääminen jäi myöhempään ajankohtaan. </w:t>
      </w:r>
    </w:p>
    <w:p w14:paraId="79F186FD" w14:textId="77777777" w:rsidR="007A19B3" w:rsidRPr="00851F08" w:rsidRDefault="0078090E" w:rsidP="00851F08">
      <w:pPr>
        <w:jc w:val="both"/>
        <w:rPr>
          <w:sz w:val="24"/>
          <w:szCs w:val="24"/>
        </w:rPr>
      </w:pPr>
      <w:r w:rsidRPr="00851F08">
        <w:rPr>
          <w:sz w:val="24"/>
          <w:szCs w:val="24"/>
        </w:rPr>
        <w:t xml:space="preserve">Sotilaspiirien esikunnat määräsivät suojelualueille päälliköt. Läheskään kaikki esikunnat eivät ilmoittaneet varaamiaan väestön - suojelupäälliköitä, vaikka ehkä olivat varauksen suorittaneetkin. </w:t>
      </w:r>
    </w:p>
    <w:p w14:paraId="3764988B" w14:textId="4796B3CF" w:rsidR="00D22BEE" w:rsidRPr="00D22BEE" w:rsidRDefault="00D22BEE" w:rsidP="00851F08">
      <w:pPr>
        <w:jc w:val="both"/>
        <w:rPr>
          <w:b/>
          <w:bCs/>
          <w:sz w:val="24"/>
          <w:szCs w:val="24"/>
        </w:rPr>
      </w:pPr>
      <w:r w:rsidRPr="00D22BEE">
        <w:rPr>
          <w:b/>
          <w:bCs/>
          <w:sz w:val="24"/>
          <w:szCs w:val="24"/>
        </w:rPr>
        <w:t>Suojelukohdekunnat 1939</w:t>
      </w:r>
    </w:p>
    <w:p w14:paraId="1446BD6D" w14:textId="494E61C4" w:rsidR="007A19B3" w:rsidRDefault="0078090E" w:rsidP="00851F08">
      <w:pPr>
        <w:jc w:val="both"/>
        <w:rPr>
          <w:sz w:val="24"/>
          <w:szCs w:val="24"/>
        </w:rPr>
      </w:pPr>
      <w:r w:rsidRPr="00851F08">
        <w:rPr>
          <w:sz w:val="24"/>
          <w:szCs w:val="24"/>
        </w:rPr>
        <w:t xml:space="preserve">Vuonna 1939 annetun väestönsuojelulain ja väestönsuojelun yleissuunnitelman (481) nojalla valtioneuvosto päätti elokuussa 1940 suojelukohteista ja niiden luokittelusta. Päätös julistettiin salaiseksi. </w:t>
      </w:r>
    </w:p>
    <w:p w14:paraId="5F098660" w14:textId="77777777" w:rsidR="00D22BEE" w:rsidRPr="00851F08" w:rsidRDefault="00D22BEE" w:rsidP="002974A0">
      <w:pPr>
        <w:spacing w:after="0"/>
        <w:jc w:val="both"/>
        <w:rPr>
          <w:sz w:val="24"/>
          <w:szCs w:val="24"/>
        </w:rPr>
      </w:pPr>
    </w:p>
    <w:p w14:paraId="449FCC58" w14:textId="0FEE7014" w:rsidR="00D22BEE" w:rsidRPr="00D22BEE" w:rsidRDefault="00D22BEE" w:rsidP="00851F08">
      <w:pPr>
        <w:jc w:val="both"/>
        <w:rPr>
          <w:b/>
          <w:bCs/>
          <w:sz w:val="24"/>
          <w:szCs w:val="24"/>
        </w:rPr>
      </w:pPr>
      <w:r w:rsidRPr="00D22BEE">
        <w:rPr>
          <w:b/>
          <w:bCs/>
          <w:sz w:val="24"/>
          <w:szCs w:val="24"/>
        </w:rPr>
        <w:t>Suojelukohdekunnat 1959</w:t>
      </w:r>
    </w:p>
    <w:p w14:paraId="6C1973AB" w14:textId="641DDA10" w:rsidR="007A19B3" w:rsidRDefault="0078090E" w:rsidP="00851F08">
      <w:pPr>
        <w:jc w:val="both"/>
        <w:rPr>
          <w:sz w:val="24"/>
          <w:szCs w:val="24"/>
        </w:rPr>
      </w:pPr>
      <w:r w:rsidRPr="00851F08">
        <w:rPr>
          <w:sz w:val="24"/>
          <w:szCs w:val="24"/>
        </w:rPr>
        <w:t>Vuoden 1959 väestönsuojelulain perusteella valtioneuvosto teki päätöksen suojelukohdekunnista 2. heinäkuuta 1959, jossa se nimesi sisäasiainministeriön esittelystä suojelukohteiksi 98 kuntaa tai kunnan osaa.</w:t>
      </w:r>
    </w:p>
    <w:p w14:paraId="6843759F" w14:textId="77777777" w:rsidR="00D22BEE" w:rsidRPr="00851F08" w:rsidRDefault="00D22BEE" w:rsidP="002974A0">
      <w:pPr>
        <w:spacing w:after="0"/>
        <w:jc w:val="both"/>
        <w:rPr>
          <w:sz w:val="24"/>
          <w:szCs w:val="24"/>
        </w:rPr>
      </w:pPr>
    </w:p>
    <w:p w14:paraId="219386AD" w14:textId="0819E2C8" w:rsidR="00D22BEE" w:rsidRPr="00D22BEE" w:rsidRDefault="00D22BEE" w:rsidP="00851F08">
      <w:pPr>
        <w:jc w:val="both"/>
        <w:rPr>
          <w:b/>
          <w:bCs/>
          <w:sz w:val="24"/>
          <w:szCs w:val="24"/>
        </w:rPr>
      </w:pPr>
      <w:r w:rsidRPr="00D22BEE">
        <w:rPr>
          <w:b/>
          <w:bCs/>
          <w:sz w:val="24"/>
          <w:szCs w:val="24"/>
        </w:rPr>
        <w:t>Suojelukohdekunnat 1990</w:t>
      </w:r>
      <w:r w:rsidR="0078090E" w:rsidRPr="00D22BEE">
        <w:rPr>
          <w:b/>
          <w:bCs/>
          <w:sz w:val="24"/>
          <w:szCs w:val="24"/>
        </w:rPr>
        <w:t xml:space="preserve"> </w:t>
      </w:r>
    </w:p>
    <w:p w14:paraId="26629F57" w14:textId="0B74F97A" w:rsidR="007A19B3" w:rsidRPr="00851F08" w:rsidRDefault="0078090E" w:rsidP="00851F08">
      <w:pPr>
        <w:jc w:val="both"/>
        <w:rPr>
          <w:sz w:val="24"/>
          <w:szCs w:val="24"/>
        </w:rPr>
      </w:pPr>
      <w:r w:rsidRPr="00851F08">
        <w:rPr>
          <w:sz w:val="24"/>
          <w:szCs w:val="24"/>
        </w:rPr>
        <w:t xml:space="preserve">Parlamentaarisen komitean muutosehdotukset 1983 Parlamentaarinen komitea kirjoitti seuraavaa: ”Väestönsuojelulakia muutettaessa voidaan samalla tarkistaa nykyisiä suojelukohteita koskevia päätöksiä. Kun väestönsuojan rakentaminen ei enää olisi riippuvainen yksinomaan sijainnista suojelukohteessa, voitaisiin kohteiden määrää pienentää ja kohdealueita supistaa. Suojelukohteiden määrä voitaisiin ilmeisesti rajoittaa niihin kuntiin, joissa sisäasiainministeriön päätöksen nojalla suunnitellaan valmiusevakuointi eli noin 35 kuntaa. Tällä tavalla saavutettaisiin säästöä suojarakentamiskustannuksissa arviolta noin 30 milj. mk, kun varsinaisten väestönsuojien sijasta tehtäisiin kevyitä väestönsuojia.” Valtioneuvosto päätti sisäasiainministeriön esittelystä määrätä 52 kuntaa suojelukohdekunniksi. Suojelukohdekuntien tarkemmat rajat määrättiin sisäasiainministeriössä. Muista kuin suojelukohteista käytettiin lainsäädännössä käsitettä valvonta-alue ja myöhemmin ”muu alue”. Suojelukohteiksi määrättyjä kuntia on ollut vuosien 1958–1991 välisenä aikana keskimäärin 100 kappaletta ja ainoastaan niissä rakennettiin mainittuna ajanjaksona väestönsuojia. </w:t>
      </w:r>
    </w:p>
    <w:p w14:paraId="60DE0033" w14:textId="77777777" w:rsidR="00D22BEE" w:rsidRDefault="00D22BEE" w:rsidP="002974A0">
      <w:pPr>
        <w:spacing w:after="0" w:line="240" w:lineRule="auto"/>
        <w:jc w:val="both"/>
        <w:rPr>
          <w:sz w:val="24"/>
          <w:szCs w:val="24"/>
        </w:rPr>
      </w:pPr>
    </w:p>
    <w:p w14:paraId="71D09F55" w14:textId="0CAD4D2F" w:rsidR="00D22BEE" w:rsidRPr="00D22BEE" w:rsidRDefault="00D22BEE" w:rsidP="00851F08">
      <w:pPr>
        <w:jc w:val="both"/>
        <w:rPr>
          <w:b/>
          <w:bCs/>
          <w:sz w:val="24"/>
          <w:szCs w:val="24"/>
        </w:rPr>
      </w:pPr>
      <w:r w:rsidRPr="00D22BEE">
        <w:rPr>
          <w:b/>
          <w:bCs/>
          <w:sz w:val="24"/>
          <w:szCs w:val="24"/>
        </w:rPr>
        <w:t>Suojelukohdekunnat 2011</w:t>
      </w:r>
    </w:p>
    <w:p w14:paraId="0551945D" w14:textId="3FBA86C2" w:rsidR="00851F08" w:rsidRPr="00851F08" w:rsidRDefault="0078090E" w:rsidP="00851F08">
      <w:pPr>
        <w:jc w:val="both"/>
        <w:rPr>
          <w:sz w:val="24"/>
          <w:szCs w:val="24"/>
        </w:rPr>
      </w:pPr>
      <w:r w:rsidRPr="00851F08">
        <w:rPr>
          <w:sz w:val="24"/>
          <w:szCs w:val="24"/>
        </w:rPr>
        <w:t xml:space="preserve">Pelastuslain 379/2011 muutoksen yhteydessä luovuttiin suojelukohteiden määrittelystä. Vuoden 1991 jälkeen, jolloin väestönsuojien rakentamisvelvollisuus tuli koskemaan koko maata, suojelukohteiden merkitys väheni. Edelleen suojelukohteiden merkitys väheni, kun yleisten väestönsuojien rakentamista ja väestönsuojan rakentamisvelvollisuutta rakennuksen peruskorjauksen yhteydessä luovuttiin. Kun nämä velvoitteet haluttiin jättää toimimattomina pois, jäi koko suojelukohteiden määrittely merkityksettömäksi. </w:t>
      </w:r>
    </w:p>
    <w:p w14:paraId="1B23AD8F" w14:textId="2D399F22" w:rsidR="002C7DFA" w:rsidRPr="00851F08" w:rsidRDefault="0078090E" w:rsidP="00851F08">
      <w:pPr>
        <w:jc w:val="both"/>
        <w:rPr>
          <w:sz w:val="24"/>
          <w:szCs w:val="24"/>
        </w:rPr>
      </w:pPr>
      <w:r w:rsidRPr="00851F08">
        <w:rPr>
          <w:sz w:val="24"/>
          <w:szCs w:val="24"/>
        </w:rPr>
        <w:t>Suojelukohdekunnissa oli kuitenkin tiukemmat määräykset väestönsuojaan kuljettavan matkan pituudesta ja alueen väestönsuojien tuli kestää suurempia kuormia kuin muulla. Rakennettavien suojien määrän vähentymisen takia oli välttämätöntä yhdistää S1- ja K-luokka. Tästä syystä suojelukohteiden määrittelystä luovuttiin uudessa pelastuslaissa.</w:t>
      </w:r>
    </w:p>
    <w:p w14:paraId="401680F3" w14:textId="77777777" w:rsidR="005909D4" w:rsidRDefault="00851F08" w:rsidP="00851F08">
      <w:pPr>
        <w:jc w:val="both"/>
      </w:pPr>
      <w:r>
        <w:lastRenderedPageBreak/>
        <w:t xml:space="preserve">    </w:t>
      </w:r>
      <w:r w:rsidRPr="001A150A">
        <w:rPr>
          <w:noProof/>
        </w:rPr>
        <w:drawing>
          <wp:inline distT="0" distB="0" distL="0" distR="0" wp14:anchorId="2E4DBDF0" wp14:editId="1C01402B">
            <wp:extent cx="3111065" cy="3905250"/>
            <wp:effectExtent l="0" t="0" r="0" b="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20900" cy="3917595"/>
                    </a:xfrm>
                    <a:prstGeom prst="rect">
                      <a:avLst/>
                    </a:prstGeom>
                    <a:noFill/>
                    <a:ln>
                      <a:noFill/>
                    </a:ln>
                  </pic:spPr>
                </pic:pic>
              </a:graphicData>
            </a:graphic>
          </wp:inline>
        </w:drawing>
      </w:r>
      <w:r>
        <w:t xml:space="preserve">        </w:t>
      </w:r>
    </w:p>
    <w:p w14:paraId="378A837B" w14:textId="77777777" w:rsidR="005909D4" w:rsidRDefault="005909D4" w:rsidP="00851F08">
      <w:pPr>
        <w:jc w:val="both"/>
      </w:pPr>
    </w:p>
    <w:p w14:paraId="66109205" w14:textId="516E5CF7" w:rsidR="00851F08" w:rsidRDefault="005909D4" w:rsidP="00851F08">
      <w:pPr>
        <w:jc w:val="both"/>
      </w:pPr>
      <w:r w:rsidRPr="002B7F64">
        <w:rPr>
          <w:b/>
          <w:sz w:val="24"/>
          <w:szCs w:val="24"/>
        </w:rPr>
        <w:object w:dxaOrig="5410" w:dyaOrig="7187" w14:anchorId="38883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3.5pt;height:335.5pt" o:ole="">
            <v:imagedata r:id="rId6" o:title=""/>
          </v:shape>
          <o:OLEObject Type="Embed" ProgID="PowerPoint.Slide.12" ShapeID="_x0000_i1025" DrawAspect="Content" ObjectID="_1667722496" r:id="rId7"/>
        </w:object>
      </w:r>
    </w:p>
    <w:sectPr w:rsidR="00851F08" w:rsidSect="00D22BEE">
      <w:pgSz w:w="11906" w:h="16838"/>
      <w:pgMar w:top="1440" w:right="1080" w:bottom="1134"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90E"/>
    <w:rsid w:val="002974A0"/>
    <w:rsid w:val="002C7DFA"/>
    <w:rsid w:val="005909D4"/>
    <w:rsid w:val="0078090E"/>
    <w:rsid w:val="007A19B3"/>
    <w:rsid w:val="00851F08"/>
    <w:rsid w:val="009C63BD"/>
    <w:rsid w:val="00D22BE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7ADA1"/>
  <w15:chartTrackingRefBased/>
  <w15:docId w15:val="{B769A19B-8DFE-44BB-AA88-3CB379F3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2974A0"/>
    <w:rPr>
      <w:color w:val="0563C1" w:themeColor="hyperlink"/>
      <w:u w:val="single"/>
    </w:rPr>
  </w:style>
  <w:style w:type="character" w:styleId="Ratkaisematonmaininta">
    <w:name w:val="Unresolved Mention"/>
    <w:basedOn w:val="Kappaleenoletusfontti"/>
    <w:uiPriority w:val="99"/>
    <w:semiHidden/>
    <w:unhideWhenUsed/>
    <w:rsid w:val="002974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Microsoft_PowerPoint_Slide.sld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hyperlink" Target="mailto:pekka.rajajarvi@hotmail.fi" TargetMode="Externa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618</Words>
  <Characters>5009</Characters>
  <Application>Microsoft Office Word</Application>
  <DocSecurity>0</DocSecurity>
  <Lines>41</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Pekka Rajajärvi</dc:creator>
  <cp:keywords/>
  <dc:description/>
  <cp:lastModifiedBy>Pekka Rajajärvi</cp:lastModifiedBy>
  <cp:revision>2</cp:revision>
  <dcterms:created xsi:type="dcterms:W3CDTF">2020-11-24T09:29:00Z</dcterms:created>
  <dcterms:modified xsi:type="dcterms:W3CDTF">2020-11-24T09:29:00Z</dcterms:modified>
</cp:coreProperties>
</file>