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1F21B" w14:textId="33511165" w:rsidR="00141AA5" w:rsidRPr="00FE76B5" w:rsidRDefault="00C25FC4">
      <w:pPr>
        <w:rPr>
          <w:b/>
          <w:bCs/>
          <w:sz w:val="28"/>
          <w:szCs w:val="28"/>
        </w:rPr>
      </w:pPr>
      <w:r w:rsidRPr="00FE76B5">
        <w:rPr>
          <w:b/>
          <w:bCs/>
          <w:sz w:val="28"/>
          <w:szCs w:val="28"/>
        </w:rPr>
        <w:t>Väestönsuojan rakentamisen kustannustietoja</w:t>
      </w:r>
      <w:r w:rsidR="00FE76B5">
        <w:rPr>
          <w:b/>
          <w:bCs/>
          <w:sz w:val="28"/>
          <w:szCs w:val="28"/>
        </w:rPr>
        <w:t xml:space="preserve"> käppyröiden avulla</w:t>
      </w:r>
      <w:r w:rsidRPr="00FE76B5">
        <w:rPr>
          <w:b/>
          <w:bCs/>
          <w:sz w:val="28"/>
          <w:szCs w:val="28"/>
        </w:rPr>
        <w:t>.</w:t>
      </w:r>
    </w:p>
    <w:p w14:paraId="59F7C5AA" w14:textId="7794CE0E" w:rsidR="00FE76B5" w:rsidRPr="008E4148" w:rsidRDefault="00FE76B5" w:rsidP="00943556">
      <w:pPr>
        <w:jc w:val="both"/>
        <w:rPr>
          <w:i/>
          <w:iCs/>
          <w:sz w:val="24"/>
          <w:szCs w:val="24"/>
        </w:rPr>
      </w:pPr>
      <w:r w:rsidRPr="008E4148">
        <w:rPr>
          <w:i/>
          <w:iCs/>
          <w:sz w:val="24"/>
          <w:szCs w:val="24"/>
        </w:rPr>
        <w:t>Muutama sana tutkimuksen tiivistelmästä sekä johdannosta. Koko tutkimus sekä Excel pohjainen laskentaohjelma väestönsuojan hinnaksi löytyy kotisivuiltani.</w:t>
      </w:r>
      <w:r w:rsidR="008E4148" w:rsidRPr="008E4148">
        <w:rPr>
          <w:i/>
          <w:iCs/>
          <w:sz w:val="24"/>
          <w:szCs w:val="24"/>
        </w:rPr>
        <w:t xml:space="preserve"> Laitoin tähän muistioon muutaman käppyrän väestönsuojan laskentaperiaatteista.</w:t>
      </w:r>
    </w:p>
    <w:p w14:paraId="40B0FE08" w14:textId="22B1F0F0" w:rsidR="00943556" w:rsidRPr="008E4148" w:rsidRDefault="00943556" w:rsidP="00943556">
      <w:pPr>
        <w:jc w:val="both"/>
        <w:rPr>
          <w:sz w:val="24"/>
          <w:szCs w:val="24"/>
        </w:rPr>
      </w:pPr>
      <w:r w:rsidRPr="008E4148">
        <w:rPr>
          <w:sz w:val="24"/>
          <w:szCs w:val="24"/>
        </w:rPr>
        <w:t xml:space="preserve">Väestönsuojien rakentamisen kustannuksista on kiistelty kiivaasti viimeiset parikymmentä vuotta. Sisäministeriö teetätti lääninhallituksia varten vuonna 1999 perusteellisen selvityksen väestönsuojien rakentamiskustannuksista. Väestönsuojien rakentamisesta on aina ollut mahdollisuus myöntää vapautus kohtuuttomien 4 % kustannusten perusteella. </w:t>
      </w:r>
    </w:p>
    <w:p w14:paraId="7AF90A26" w14:textId="77777777" w:rsidR="00943556" w:rsidRPr="008E4148" w:rsidRDefault="00943556" w:rsidP="00943556">
      <w:pPr>
        <w:jc w:val="both"/>
        <w:rPr>
          <w:sz w:val="24"/>
          <w:szCs w:val="24"/>
        </w:rPr>
      </w:pPr>
      <w:r w:rsidRPr="008E4148">
        <w:rPr>
          <w:sz w:val="24"/>
          <w:szCs w:val="24"/>
        </w:rPr>
        <w:t xml:space="preserve">Vuoden 2019 alusta alkaen väestönsuojan rakentamisvelvoitteesta vapautuksen voi myöntää kunnan rakennusvalvontaviranomainen kuultuaan pelastusviranomaista. </w:t>
      </w:r>
    </w:p>
    <w:p w14:paraId="08766134" w14:textId="2E05EEFF" w:rsidR="008E4148" w:rsidRPr="008E4148" w:rsidRDefault="00943556" w:rsidP="008E4148">
      <w:pPr>
        <w:jc w:val="both"/>
        <w:rPr>
          <w:sz w:val="24"/>
          <w:szCs w:val="24"/>
        </w:rPr>
      </w:pPr>
      <w:r w:rsidRPr="008E4148">
        <w:rPr>
          <w:sz w:val="24"/>
          <w:szCs w:val="24"/>
        </w:rPr>
        <w:t xml:space="preserve">Myös rakennusalalla on herännyt mielenkiinto väestönsuojan kustannustehokasta rakentamista kohtaan. Noususuhdanne asettaa aikatauluvaatimuksia, työmaa joutuu miettimään, onko paikalla valettu väestönsuoja enää varteenotettava vaihtoehto. Noin puolet väestönsuojista tehdään elementeistä. Paikalla valetun väestönsuojan tekeminen kestää 1–2 viikkoa. Elementtisuojan pystyttämiseen menee 3 päivää. </w:t>
      </w:r>
      <w:r w:rsidR="008E4148" w:rsidRPr="008E4148">
        <w:rPr>
          <w:sz w:val="24"/>
          <w:szCs w:val="24"/>
        </w:rPr>
        <w:t xml:space="preserve">Elementtitoimituksen osuus koko väestönsuojan kustannuksista on noin 50 %. Mitä suurempaan suojaan mennään, sitä taloudellisemmaksi elementtisuoja tulee verrattuna paikalla tehtyyn. </w:t>
      </w:r>
      <w:r w:rsidR="00E9791E">
        <w:rPr>
          <w:sz w:val="24"/>
          <w:szCs w:val="24"/>
        </w:rPr>
        <w:t>Hinnoissa ei ole huomioitu rakennusajan lyhennystä.</w:t>
      </w:r>
    </w:p>
    <w:p w14:paraId="65790970" w14:textId="77777777" w:rsidR="008E4148" w:rsidRPr="008E4148" w:rsidRDefault="00943556" w:rsidP="00943556">
      <w:pPr>
        <w:jc w:val="both"/>
        <w:rPr>
          <w:sz w:val="24"/>
          <w:szCs w:val="24"/>
        </w:rPr>
      </w:pPr>
      <w:r w:rsidRPr="008E4148">
        <w:rPr>
          <w:sz w:val="24"/>
          <w:szCs w:val="24"/>
        </w:rPr>
        <w:t xml:space="preserve">Tutkimustyön tarkoituksena on antaa tutkittua tietoa viranomaisille sekä rakentajille erikokoisten S1-luokan väestönsuojien kustannuksista. Väestönsuojalla ei ole yhtä ainoaa neliöhintaa. Pienin väestönsuoja 20 m2 maksaa neliömetriä kohti kaksi kertaa enemmän kuin 135 m2:n suoja, paikkakuntien kalleuserot ovat 0–25 %. </w:t>
      </w:r>
    </w:p>
    <w:p w14:paraId="5E3D9812" w14:textId="66962DE5" w:rsidR="00FE76B5" w:rsidRPr="008E4148" w:rsidRDefault="00FE76B5" w:rsidP="00943556">
      <w:pPr>
        <w:jc w:val="both"/>
        <w:rPr>
          <w:sz w:val="24"/>
          <w:szCs w:val="24"/>
        </w:rPr>
      </w:pPr>
      <w:r w:rsidRPr="008E4148">
        <w:rPr>
          <w:sz w:val="24"/>
          <w:szCs w:val="24"/>
        </w:rPr>
        <w:t xml:space="preserve">Rakennusalalla on väestönsuojan rakentamisessa vakiintunut kaksi toteutustapaa, jotka muodostavat pohjan tälle tutkimukselle. Nämä toteutustavat ovat paikallavalutekniikka ja elementtitekniikka. Tämän lisäksi tutkimuksessa on selvitetty Kustannustieto TAKU® -ohjelmiston sekä vuonna 1999 sisäministeriön teettämän tutkimustyön väestönsuojan rakentamisen kustannuksista. Työssä on tehty vertailulaskelmia näiden laskentatapojen välillä, lopullinen väestönsuojan hinta on saatu edellä mainittujen laskentatapojen kompromissina. </w:t>
      </w:r>
    </w:p>
    <w:p w14:paraId="6E55C7D1" w14:textId="2B900320" w:rsidR="00943556" w:rsidRPr="008E4148" w:rsidRDefault="00FE76B5" w:rsidP="00943556">
      <w:pPr>
        <w:jc w:val="both"/>
        <w:rPr>
          <w:sz w:val="24"/>
          <w:szCs w:val="24"/>
        </w:rPr>
      </w:pPr>
      <w:r w:rsidRPr="008E4148">
        <w:rPr>
          <w:sz w:val="24"/>
          <w:szCs w:val="24"/>
        </w:rPr>
        <w:t>Laskelmi</w:t>
      </w:r>
      <w:r w:rsidR="00E9791E">
        <w:rPr>
          <w:sz w:val="24"/>
          <w:szCs w:val="24"/>
        </w:rPr>
        <w:t xml:space="preserve">ssa selvitettiin </w:t>
      </w:r>
      <w:r w:rsidRPr="008E4148">
        <w:rPr>
          <w:sz w:val="24"/>
          <w:szCs w:val="24"/>
        </w:rPr>
        <w:t>myös väestönsuojan yläpuolisen tilan kustannusvaikutus. Normaalisti asuinrakennusten kerroskorkeus on 3 000 mm, väestönsuojan sisäkorkeus on määräysten mukaan vähintään 2 300 mm ja katon vahvuus 300 mm</w:t>
      </w:r>
      <w:r w:rsidR="00E9791E">
        <w:rPr>
          <w:sz w:val="24"/>
          <w:szCs w:val="24"/>
        </w:rPr>
        <w:t>, katon yläpuolelle jää yleensä tyhjää tilaa</w:t>
      </w:r>
      <w:r w:rsidRPr="008E4148">
        <w:rPr>
          <w:sz w:val="24"/>
          <w:szCs w:val="24"/>
        </w:rPr>
        <w:t xml:space="preserve">. </w:t>
      </w:r>
    </w:p>
    <w:p w14:paraId="77CAA44A" w14:textId="26F22725" w:rsidR="00943556" w:rsidRPr="00682710" w:rsidRDefault="00350313" w:rsidP="00943556">
      <w:pPr>
        <w:jc w:val="both"/>
        <w:rPr>
          <w:sz w:val="24"/>
          <w:szCs w:val="24"/>
        </w:rPr>
      </w:pPr>
      <w:r w:rsidRPr="00682710">
        <w:rPr>
          <w:sz w:val="24"/>
          <w:szCs w:val="24"/>
        </w:rPr>
        <w:t xml:space="preserve">Väestönsuojan seinät, katto ja lattia maalataan käyttöön sopivalla maalilla, jos on tarvetta parempaan tasoon, se lasketaan normaaliolojen lisähintaan. Sisäministeriö linjasi 90-luvulla väestönsuojan rakentamiskustannuksista, että katsotaan koko suojan rakentamisen kustannuksia varastotasossa. </w:t>
      </w:r>
    </w:p>
    <w:p w14:paraId="68DC46AC" w14:textId="70E5B5B3" w:rsidR="00350313" w:rsidRPr="008E4148" w:rsidRDefault="00350313" w:rsidP="00943556">
      <w:pPr>
        <w:jc w:val="both"/>
        <w:rPr>
          <w:sz w:val="24"/>
          <w:szCs w:val="24"/>
        </w:rPr>
      </w:pPr>
      <w:r w:rsidRPr="00682710">
        <w:rPr>
          <w:sz w:val="24"/>
          <w:szCs w:val="24"/>
        </w:rPr>
        <w:t>Väestönsuojakäytön aiheuttamat lisäkustannukset johtuvat painekuormien aiheuttamista rakenteiden paksuntamisesta sekä väestönsuojalaitteista ja varusteista. Yleensä väestönsuojatilaa voidaan käyttää lähes yhtä tehokkaasti normaaliolojen toimintaan kuin varta vasten rakennettua tilaa. Asuntojen komerohäkit ja kiinnikkeet kuuluvat normaaliolojen toiminnan hintaan. Kokonaiskustannusten määrittelyssä lähdetään siitä, että puolet on väestönsuojavaatimusten tuomia lisäkustannuksia ja toinen puolikas normaaliolojen käytön kustannuksia. Väestönsuojassa asukkaiden varastotilojen hinnaksi jää noin 1 000 €/m</w:t>
      </w:r>
      <w:r w:rsidRPr="00682710">
        <w:rPr>
          <w:sz w:val="24"/>
          <w:szCs w:val="24"/>
          <w:vertAlign w:val="superscript"/>
        </w:rPr>
        <w:t>2</w:t>
      </w:r>
      <w:r w:rsidRPr="00682710">
        <w:rPr>
          <w:sz w:val="24"/>
          <w:szCs w:val="24"/>
        </w:rPr>
        <w:t xml:space="preserve"> plus komeroiden teko.</w:t>
      </w:r>
    </w:p>
    <w:p w14:paraId="67AC9C55" w14:textId="77777777" w:rsidR="00350313" w:rsidRDefault="00350313" w:rsidP="00943556">
      <w:pPr>
        <w:jc w:val="both"/>
      </w:pPr>
    </w:p>
    <w:p w14:paraId="342989B8" w14:textId="24565A8F" w:rsidR="00AC66D0" w:rsidRDefault="00AC66D0">
      <w:r w:rsidRPr="00AC66D0">
        <w:rPr>
          <w:noProof/>
        </w:rPr>
        <w:lastRenderedPageBreak/>
        <w:drawing>
          <wp:inline distT="0" distB="0" distL="0" distR="0" wp14:anchorId="6CDC7E65" wp14:editId="288BAA57">
            <wp:extent cx="5791200" cy="4979457"/>
            <wp:effectExtent l="0" t="0" r="0" b="0"/>
            <wp:docPr id="959104566"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2945" cy="4989556"/>
                    </a:xfrm>
                    <a:prstGeom prst="rect">
                      <a:avLst/>
                    </a:prstGeom>
                    <a:noFill/>
                    <a:ln>
                      <a:noFill/>
                    </a:ln>
                  </pic:spPr>
                </pic:pic>
              </a:graphicData>
            </a:graphic>
          </wp:inline>
        </w:drawing>
      </w:r>
    </w:p>
    <w:p w14:paraId="7AD07101" w14:textId="77777777" w:rsidR="00682710" w:rsidRDefault="00682710"/>
    <w:p w14:paraId="7F850008" w14:textId="2B7CE3B5" w:rsidR="00BB21DF" w:rsidRDefault="00AC66D0">
      <w:r>
        <w:rPr>
          <w:noProof/>
        </w:rPr>
        <w:drawing>
          <wp:inline distT="0" distB="0" distL="0" distR="0" wp14:anchorId="71385CBC" wp14:editId="61129CA4">
            <wp:extent cx="5753100" cy="4311650"/>
            <wp:effectExtent l="0" t="0" r="0" b="12700"/>
            <wp:docPr id="1099336137" name="Kaavio 1">
              <a:extLst xmlns:a="http://schemas.openxmlformats.org/drawingml/2006/main">
                <a:ext uri="{FF2B5EF4-FFF2-40B4-BE49-F238E27FC236}">
                  <a16:creationId xmlns:a16="http://schemas.microsoft.com/office/drawing/2014/main" id="{02E50682-4047-A6E5-18C9-D2F839745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54E0B64" w14:textId="1641827E" w:rsidR="005D600F" w:rsidRDefault="00BB21DF">
      <w:r>
        <w:rPr>
          <w:noProof/>
        </w:rPr>
        <w:lastRenderedPageBreak/>
        <w:drawing>
          <wp:inline distT="0" distB="0" distL="0" distR="0" wp14:anchorId="6A37E341" wp14:editId="1AC84E03">
            <wp:extent cx="6645910" cy="4331335"/>
            <wp:effectExtent l="0" t="0" r="2540" b="12065"/>
            <wp:docPr id="1997710165" name="Kaavio 1">
              <a:extLst xmlns:a="http://schemas.openxmlformats.org/drawingml/2006/main">
                <a:ext uri="{FF2B5EF4-FFF2-40B4-BE49-F238E27FC236}">
                  <a16:creationId xmlns:a16="http://schemas.microsoft.com/office/drawing/2014/main" id="{FB3C8F9E-FB8C-CF10-D591-AC07065674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19B4F23" w14:textId="70B65C1E" w:rsidR="00BB21DF" w:rsidRDefault="00682710">
      <w:pPr>
        <w:rPr>
          <w:sz w:val="24"/>
          <w:szCs w:val="24"/>
        </w:rPr>
      </w:pPr>
      <w:r w:rsidRPr="00682710">
        <w:rPr>
          <w:sz w:val="24"/>
          <w:szCs w:val="24"/>
        </w:rPr>
        <w:t>Väestönsuojan hinnassa tapahtuu hyppäys laiteyksikköjen määrän mukaan.</w:t>
      </w:r>
    </w:p>
    <w:p w14:paraId="491BFF26" w14:textId="77777777" w:rsidR="00682710" w:rsidRPr="00682710" w:rsidRDefault="00682710">
      <w:pPr>
        <w:rPr>
          <w:sz w:val="24"/>
          <w:szCs w:val="24"/>
        </w:rPr>
      </w:pPr>
    </w:p>
    <w:p w14:paraId="5F0F4492" w14:textId="61B7E52B" w:rsidR="00BB21DF" w:rsidRDefault="00BB21DF">
      <w:r>
        <w:rPr>
          <w:noProof/>
        </w:rPr>
        <w:drawing>
          <wp:inline distT="0" distB="0" distL="0" distR="0" wp14:anchorId="66DF9842" wp14:editId="03B8780D">
            <wp:extent cx="6645910" cy="3655695"/>
            <wp:effectExtent l="0" t="0" r="2540" b="1905"/>
            <wp:docPr id="1660756665" name="Kaavio 1">
              <a:extLst xmlns:a="http://schemas.openxmlformats.org/drawingml/2006/main">
                <a:ext uri="{FF2B5EF4-FFF2-40B4-BE49-F238E27FC236}">
                  <a16:creationId xmlns:a16="http://schemas.microsoft.com/office/drawing/2014/main" id="{26ABA398-BBA1-E51F-230A-960496353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A4E84F" w14:textId="77777777" w:rsidR="00AC66D0" w:rsidRDefault="00AC66D0"/>
    <w:p w14:paraId="7AE9D60C" w14:textId="47ED49E1" w:rsidR="00AC66D0" w:rsidRDefault="00AC66D0">
      <w:r>
        <w:rPr>
          <w:noProof/>
        </w:rPr>
        <w:lastRenderedPageBreak/>
        <w:drawing>
          <wp:inline distT="0" distB="0" distL="0" distR="0" wp14:anchorId="753824F6" wp14:editId="7DF40132">
            <wp:extent cx="6645910" cy="5500370"/>
            <wp:effectExtent l="0" t="0" r="2540" b="5080"/>
            <wp:docPr id="144307970" name="Kaavio 1">
              <a:extLst xmlns:a="http://schemas.openxmlformats.org/drawingml/2006/main">
                <a:ext uri="{FF2B5EF4-FFF2-40B4-BE49-F238E27FC236}">
                  <a16:creationId xmlns:a16="http://schemas.microsoft.com/office/drawing/2014/main" id="{6E894F41-1D26-6E7C-9466-C5DD80CE1E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2863B5A" w14:textId="3C27B70D" w:rsidR="00682710" w:rsidRPr="00682710" w:rsidRDefault="00682710">
      <w:pPr>
        <w:rPr>
          <w:sz w:val="24"/>
          <w:szCs w:val="24"/>
        </w:rPr>
      </w:pPr>
      <w:r w:rsidRPr="00682710">
        <w:rPr>
          <w:sz w:val="24"/>
          <w:szCs w:val="24"/>
        </w:rPr>
        <w:t>Väestönsuojan ilmanvaihtolaitteiden osuus kaikista varusteista on aina yli puolet</w:t>
      </w:r>
    </w:p>
    <w:p w14:paraId="13EC61DF" w14:textId="29CC4857" w:rsidR="00C25FC4" w:rsidRDefault="005D600F">
      <w:r w:rsidRPr="005D600F">
        <w:rPr>
          <w:noProof/>
        </w:rPr>
        <w:lastRenderedPageBreak/>
        <w:drawing>
          <wp:inline distT="0" distB="0" distL="0" distR="0" wp14:anchorId="076F480F" wp14:editId="5D1D5847">
            <wp:extent cx="5314950" cy="4649217"/>
            <wp:effectExtent l="0" t="0" r="0" b="0"/>
            <wp:docPr id="191115535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0150" cy="4653765"/>
                    </a:xfrm>
                    <a:prstGeom prst="rect">
                      <a:avLst/>
                    </a:prstGeom>
                    <a:noFill/>
                    <a:ln>
                      <a:noFill/>
                    </a:ln>
                  </pic:spPr>
                </pic:pic>
              </a:graphicData>
            </a:graphic>
          </wp:inline>
        </w:drawing>
      </w:r>
    </w:p>
    <w:p w14:paraId="09CB1EED" w14:textId="44818E14" w:rsidR="00682710" w:rsidRPr="004D00FE" w:rsidRDefault="00682710">
      <w:pPr>
        <w:rPr>
          <w:sz w:val="24"/>
          <w:szCs w:val="24"/>
        </w:rPr>
      </w:pPr>
      <w:r w:rsidRPr="004D00FE">
        <w:rPr>
          <w:sz w:val="24"/>
          <w:szCs w:val="24"/>
        </w:rPr>
        <w:t xml:space="preserve">Minisuojan 20 m2 hinta on tärkeä väestönsuojan vapautusmenettelyssä, neliöhinta on kaksinkertainen </w:t>
      </w:r>
      <w:r w:rsidR="004D00FE" w:rsidRPr="004D00FE">
        <w:rPr>
          <w:sz w:val="24"/>
          <w:szCs w:val="24"/>
        </w:rPr>
        <w:t xml:space="preserve">135 neliömetrin </w:t>
      </w:r>
      <w:r w:rsidRPr="004D00FE">
        <w:rPr>
          <w:sz w:val="24"/>
          <w:szCs w:val="24"/>
        </w:rPr>
        <w:t>optimisuojaan</w:t>
      </w:r>
      <w:r w:rsidR="004D00FE" w:rsidRPr="004D00FE">
        <w:rPr>
          <w:sz w:val="24"/>
          <w:szCs w:val="24"/>
        </w:rPr>
        <w:t>.</w:t>
      </w:r>
      <w:r w:rsidRPr="004D00FE">
        <w:rPr>
          <w:sz w:val="24"/>
          <w:szCs w:val="24"/>
        </w:rPr>
        <w:t xml:space="preserve"> </w:t>
      </w:r>
    </w:p>
    <w:p w14:paraId="5CBA22DD" w14:textId="4C1B8E58" w:rsidR="00C25FC4" w:rsidRDefault="00C25FC4">
      <w:r>
        <w:rPr>
          <w:noProof/>
        </w:rPr>
        <w:lastRenderedPageBreak/>
        <w:drawing>
          <wp:inline distT="0" distB="0" distL="0" distR="0" wp14:anchorId="58309923" wp14:editId="7ABF05B6">
            <wp:extent cx="6645910" cy="5515610"/>
            <wp:effectExtent l="0" t="0" r="2540" b="8890"/>
            <wp:docPr id="1857827485" name="Kaavio 1">
              <a:extLst xmlns:a="http://schemas.openxmlformats.org/drawingml/2006/main">
                <a:ext uri="{FF2B5EF4-FFF2-40B4-BE49-F238E27FC236}">
                  <a16:creationId xmlns:a16="http://schemas.microsoft.com/office/drawing/2014/main" id="{0D891EC8-D2E2-05B2-AF61-09BA85F28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7EEEC1" w14:textId="3B94FA62" w:rsidR="004D00FE" w:rsidRPr="004D00FE" w:rsidRDefault="004D00FE">
      <w:pPr>
        <w:rPr>
          <w:sz w:val="24"/>
          <w:szCs w:val="24"/>
        </w:rPr>
      </w:pPr>
      <w:r w:rsidRPr="004D00FE">
        <w:rPr>
          <w:sz w:val="24"/>
          <w:szCs w:val="24"/>
        </w:rPr>
        <w:t>Tässä käppyrässä on yhdistetty kuluja pääluokkiin</w:t>
      </w:r>
    </w:p>
    <w:p w14:paraId="2FDBAC84" w14:textId="7A850291" w:rsidR="005D600F" w:rsidRDefault="008D7230">
      <w:r>
        <w:rPr>
          <w:noProof/>
        </w:rPr>
        <w:lastRenderedPageBreak/>
        <w:drawing>
          <wp:inline distT="0" distB="0" distL="0" distR="0" wp14:anchorId="5BC072DB" wp14:editId="4EEC1B1A">
            <wp:extent cx="6645910" cy="5219700"/>
            <wp:effectExtent l="0" t="0" r="2540" b="0"/>
            <wp:docPr id="1994786710" name="Kaavio 1">
              <a:extLst xmlns:a="http://schemas.openxmlformats.org/drawingml/2006/main">
                <a:ext uri="{FF2B5EF4-FFF2-40B4-BE49-F238E27FC236}">
                  <a16:creationId xmlns:a16="http://schemas.microsoft.com/office/drawing/2014/main" id="{B60574F0-2D68-A07C-2393-12368EB39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814794" w14:textId="4A6B088A" w:rsidR="008D7230" w:rsidRPr="004D00FE" w:rsidRDefault="004D00FE">
      <w:pPr>
        <w:rPr>
          <w:sz w:val="24"/>
          <w:szCs w:val="24"/>
        </w:rPr>
      </w:pPr>
      <w:r w:rsidRPr="004D00FE">
        <w:rPr>
          <w:sz w:val="24"/>
          <w:szCs w:val="24"/>
        </w:rPr>
        <w:t>Kustannusten täydellinen jaottelu</w:t>
      </w:r>
    </w:p>
    <w:p w14:paraId="4D42C2E5" w14:textId="6CFA3BAC" w:rsidR="008D7230" w:rsidRDefault="008D7230">
      <w:r>
        <w:rPr>
          <w:noProof/>
        </w:rPr>
        <w:lastRenderedPageBreak/>
        <w:drawing>
          <wp:inline distT="0" distB="0" distL="0" distR="0" wp14:anchorId="56D03636" wp14:editId="08E87761">
            <wp:extent cx="6645910" cy="5140960"/>
            <wp:effectExtent l="0" t="0" r="2540" b="2540"/>
            <wp:docPr id="925557302" name="Kaavio 1">
              <a:extLst xmlns:a="http://schemas.openxmlformats.org/drawingml/2006/main">
                <a:ext uri="{FF2B5EF4-FFF2-40B4-BE49-F238E27FC236}">
                  <a16:creationId xmlns:a16="http://schemas.microsoft.com/office/drawing/2014/main" id="{04BAB3FD-BA73-21A0-5FD0-DDA1252C44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331FD8" w14:textId="1EEA9A98" w:rsidR="00BB21DF" w:rsidRPr="004D00FE" w:rsidRDefault="004D00FE">
      <w:pPr>
        <w:rPr>
          <w:sz w:val="24"/>
          <w:szCs w:val="24"/>
        </w:rPr>
      </w:pPr>
      <w:r w:rsidRPr="004D00FE">
        <w:rPr>
          <w:sz w:val="24"/>
          <w:szCs w:val="24"/>
        </w:rPr>
        <w:t>Tässä ison ja pienen suojan kustannusten vertailu</w:t>
      </w:r>
    </w:p>
    <w:p w14:paraId="186F1C4A" w14:textId="701A700E" w:rsidR="00BB21DF" w:rsidRDefault="00BB21DF">
      <w:r>
        <w:rPr>
          <w:noProof/>
        </w:rPr>
        <w:lastRenderedPageBreak/>
        <w:drawing>
          <wp:inline distT="0" distB="0" distL="0" distR="0" wp14:anchorId="4149CA1D" wp14:editId="2B504BA7">
            <wp:extent cx="6645910" cy="4323080"/>
            <wp:effectExtent l="0" t="0" r="2540" b="1270"/>
            <wp:docPr id="18441209" name="Kaavio 1">
              <a:extLst xmlns:a="http://schemas.openxmlformats.org/drawingml/2006/main">
                <a:ext uri="{FF2B5EF4-FFF2-40B4-BE49-F238E27FC236}">
                  <a16:creationId xmlns:a16="http://schemas.microsoft.com/office/drawing/2014/main" id="{A5F0FE8A-7EE7-51C6-BE81-66605CFC40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ED8603" w14:textId="51D0B1BA" w:rsidR="004D00FE" w:rsidRPr="004D00FE" w:rsidRDefault="004D00FE">
      <w:pPr>
        <w:rPr>
          <w:sz w:val="24"/>
          <w:szCs w:val="24"/>
        </w:rPr>
      </w:pPr>
      <w:r w:rsidRPr="004D00FE">
        <w:rPr>
          <w:sz w:val="24"/>
          <w:szCs w:val="24"/>
        </w:rPr>
        <w:t>Väestönsuojan laitteiden ja varusteiden hinnat pinta-alaa kohti.</w:t>
      </w:r>
    </w:p>
    <w:p w14:paraId="5D6E3A79" w14:textId="77777777" w:rsidR="004D00FE" w:rsidRDefault="004D00FE"/>
    <w:tbl>
      <w:tblPr>
        <w:tblW w:w="9952" w:type="dxa"/>
        <w:tblCellMar>
          <w:left w:w="70" w:type="dxa"/>
          <w:right w:w="70" w:type="dxa"/>
        </w:tblCellMar>
        <w:tblLook w:val="04A0" w:firstRow="1" w:lastRow="0" w:firstColumn="1" w:lastColumn="0" w:noHBand="0" w:noVBand="1"/>
      </w:tblPr>
      <w:tblGrid>
        <w:gridCol w:w="5810"/>
        <w:gridCol w:w="839"/>
        <w:gridCol w:w="839"/>
        <w:gridCol w:w="839"/>
        <w:gridCol w:w="839"/>
        <w:gridCol w:w="212"/>
        <w:gridCol w:w="574"/>
      </w:tblGrid>
      <w:tr w:rsidR="00215072" w:rsidRPr="00215072" w14:paraId="24FFB2F3" w14:textId="77777777" w:rsidTr="00215072">
        <w:trPr>
          <w:trHeight w:val="370"/>
        </w:trPr>
        <w:tc>
          <w:tcPr>
            <w:tcW w:w="9952" w:type="dxa"/>
            <w:gridSpan w:val="7"/>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4EF452"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Kuva 12/2</w:t>
            </w:r>
          </w:p>
        </w:tc>
      </w:tr>
      <w:tr w:rsidR="00215072" w:rsidRPr="00215072" w14:paraId="7A080D22" w14:textId="77777777" w:rsidTr="00215072">
        <w:trPr>
          <w:trHeight w:val="380"/>
        </w:trPr>
        <w:tc>
          <w:tcPr>
            <w:tcW w:w="5810" w:type="dxa"/>
            <w:tcBorders>
              <w:top w:val="nil"/>
              <w:left w:val="single" w:sz="8" w:space="0" w:color="auto"/>
              <w:bottom w:val="single" w:sz="4" w:space="0" w:color="auto"/>
              <w:right w:val="single" w:sz="4" w:space="0" w:color="auto"/>
            </w:tcBorders>
            <w:shd w:val="clear" w:color="auto" w:fill="auto"/>
            <w:noWrap/>
            <w:vAlign w:val="bottom"/>
            <w:hideMark/>
          </w:tcPr>
          <w:p w14:paraId="0080E0DC"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Väestönsuojan pinta-ala m</w:t>
            </w:r>
            <w:r w:rsidRPr="00215072">
              <w:rPr>
                <w:rFonts w:ascii="Arial" w:eastAsia="Times New Roman" w:hAnsi="Arial" w:cs="Arial"/>
                <w:kern w:val="0"/>
                <w:sz w:val="24"/>
                <w:szCs w:val="24"/>
                <w:vertAlign w:val="superscript"/>
                <w:lang w:eastAsia="fi-FI"/>
                <w14:ligatures w14:val="none"/>
              </w:rPr>
              <w:t>2</w:t>
            </w:r>
          </w:p>
        </w:tc>
        <w:tc>
          <w:tcPr>
            <w:tcW w:w="839" w:type="dxa"/>
            <w:tcBorders>
              <w:top w:val="nil"/>
              <w:left w:val="nil"/>
              <w:bottom w:val="single" w:sz="4" w:space="0" w:color="auto"/>
              <w:right w:val="single" w:sz="4" w:space="0" w:color="auto"/>
            </w:tcBorders>
            <w:shd w:val="clear" w:color="auto" w:fill="auto"/>
            <w:noWrap/>
            <w:vAlign w:val="bottom"/>
            <w:hideMark/>
          </w:tcPr>
          <w:p w14:paraId="6B3EFD75"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20 m</w:t>
            </w:r>
            <w:r w:rsidRPr="00215072">
              <w:rPr>
                <w:rFonts w:ascii="Arial" w:eastAsia="Times New Roman" w:hAnsi="Arial" w:cs="Arial"/>
                <w:color w:val="000000"/>
                <w:kern w:val="0"/>
                <w:sz w:val="24"/>
                <w:szCs w:val="24"/>
                <w:vertAlign w:val="superscript"/>
                <w:lang w:eastAsia="fi-FI"/>
                <w14:ligatures w14:val="none"/>
              </w:rPr>
              <w:t>2</w:t>
            </w:r>
            <w:r w:rsidRPr="00215072">
              <w:rPr>
                <w:rFonts w:ascii="Arial" w:eastAsia="Times New Roman" w:hAnsi="Arial" w:cs="Arial"/>
                <w:color w:val="000000"/>
                <w:kern w:val="0"/>
                <w:sz w:val="24"/>
                <w:szCs w:val="24"/>
                <w:lang w:eastAsia="fi-FI"/>
                <w14:ligatures w14:val="none"/>
              </w:rPr>
              <w:t xml:space="preserve">  </w:t>
            </w:r>
          </w:p>
        </w:tc>
        <w:tc>
          <w:tcPr>
            <w:tcW w:w="839" w:type="dxa"/>
            <w:tcBorders>
              <w:top w:val="nil"/>
              <w:left w:val="nil"/>
              <w:bottom w:val="single" w:sz="4" w:space="0" w:color="auto"/>
              <w:right w:val="single" w:sz="4" w:space="0" w:color="auto"/>
            </w:tcBorders>
            <w:shd w:val="clear" w:color="auto" w:fill="auto"/>
            <w:noWrap/>
            <w:vAlign w:val="bottom"/>
            <w:hideMark/>
          </w:tcPr>
          <w:p w14:paraId="6A8E71C8"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45 m</w:t>
            </w:r>
            <w:r w:rsidRPr="00215072">
              <w:rPr>
                <w:rFonts w:ascii="Arial" w:eastAsia="Times New Roman" w:hAnsi="Arial" w:cs="Arial"/>
                <w:color w:val="000000"/>
                <w:kern w:val="0"/>
                <w:sz w:val="24"/>
                <w:szCs w:val="24"/>
                <w:vertAlign w:val="superscript"/>
                <w:lang w:eastAsia="fi-FI"/>
                <w14:ligatures w14:val="none"/>
              </w:rPr>
              <w:t>2</w:t>
            </w:r>
            <w:r w:rsidRPr="00215072">
              <w:rPr>
                <w:rFonts w:ascii="Arial" w:eastAsia="Times New Roman" w:hAnsi="Arial" w:cs="Arial"/>
                <w:color w:val="000000"/>
                <w:kern w:val="0"/>
                <w:sz w:val="24"/>
                <w:szCs w:val="24"/>
                <w:lang w:eastAsia="fi-FI"/>
                <w14:ligatures w14:val="none"/>
              </w:rPr>
              <w:t xml:space="preserve">  </w:t>
            </w:r>
          </w:p>
        </w:tc>
        <w:tc>
          <w:tcPr>
            <w:tcW w:w="839" w:type="dxa"/>
            <w:tcBorders>
              <w:top w:val="nil"/>
              <w:left w:val="nil"/>
              <w:bottom w:val="single" w:sz="4" w:space="0" w:color="auto"/>
              <w:right w:val="single" w:sz="4" w:space="0" w:color="auto"/>
            </w:tcBorders>
            <w:shd w:val="clear" w:color="auto" w:fill="auto"/>
            <w:noWrap/>
            <w:vAlign w:val="bottom"/>
            <w:hideMark/>
          </w:tcPr>
          <w:p w14:paraId="75AFE9D5"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66 m</w:t>
            </w:r>
            <w:r w:rsidRPr="00215072">
              <w:rPr>
                <w:rFonts w:ascii="Arial" w:eastAsia="Times New Roman" w:hAnsi="Arial" w:cs="Arial"/>
                <w:color w:val="000000"/>
                <w:kern w:val="0"/>
                <w:sz w:val="24"/>
                <w:szCs w:val="24"/>
                <w:vertAlign w:val="superscript"/>
                <w:lang w:eastAsia="fi-FI"/>
                <w14:ligatures w14:val="none"/>
              </w:rPr>
              <w:t>2</w:t>
            </w:r>
            <w:r w:rsidRPr="00215072">
              <w:rPr>
                <w:rFonts w:ascii="Arial" w:eastAsia="Times New Roman" w:hAnsi="Arial" w:cs="Arial"/>
                <w:color w:val="000000"/>
                <w:kern w:val="0"/>
                <w:sz w:val="24"/>
                <w:szCs w:val="24"/>
                <w:lang w:eastAsia="fi-FI"/>
                <w14:ligatures w14:val="none"/>
              </w:rPr>
              <w:t xml:space="preserve">  </w:t>
            </w:r>
          </w:p>
        </w:tc>
        <w:tc>
          <w:tcPr>
            <w:tcW w:w="839" w:type="dxa"/>
            <w:tcBorders>
              <w:top w:val="nil"/>
              <w:left w:val="nil"/>
              <w:bottom w:val="single" w:sz="4" w:space="0" w:color="auto"/>
              <w:right w:val="single" w:sz="4" w:space="0" w:color="auto"/>
            </w:tcBorders>
            <w:shd w:val="clear" w:color="auto" w:fill="auto"/>
            <w:noWrap/>
            <w:vAlign w:val="bottom"/>
            <w:hideMark/>
          </w:tcPr>
          <w:p w14:paraId="78AA8AF5"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90 m</w:t>
            </w:r>
            <w:r w:rsidRPr="00215072">
              <w:rPr>
                <w:rFonts w:ascii="Arial" w:eastAsia="Times New Roman" w:hAnsi="Arial" w:cs="Arial"/>
                <w:color w:val="000000"/>
                <w:kern w:val="0"/>
                <w:sz w:val="24"/>
                <w:szCs w:val="24"/>
                <w:vertAlign w:val="superscript"/>
                <w:lang w:eastAsia="fi-FI"/>
                <w14:ligatures w14:val="none"/>
              </w:rPr>
              <w:t>2</w:t>
            </w:r>
            <w:r w:rsidRPr="00215072">
              <w:rPr>
                <w:rFonts w:ascii="Arial" w:eastAsia="Times New Roman" w:hAnsi="Arial" w:cs="Arial"/>
                <w:color w:val="000000"/>
                <w:kern w:val="0"/>
                <w:sz w:val="24"/>
                <w:szCs w:val="24"/>
                <w:lang w:eastAsia="fi-FI"/>
                <w14:ligatures w14:val="none"/>
              </w:rPr>
              <w:t xml:space="preserve">  </w:t>
            </w:r>
          </w:p>
        </w:tc>
        <w:tc>
          <w:tcPr>
            <w:tcW w:w="786"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41A1DF80"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135 m</w:t>
            </w:r>
            <w:r w:rsidRPr="00215072">
              <w:rPr>
                <w:rFonts w:ascii="Arial" w:eastAsia="Times New Roman" w:hAnsi="Arial" w:cs="Arial"/>
                <w:kern w:val="0"/>
                <w:sz w:val="24"/>
                <w:szCs w:val="24"/>
                <w:vertAlign w:val="superscript"/>
                <w:lang w:eastAsia="fi-FI"/>
                <w14:ligatures w14:val="none"/>
              </w:rPr>
              <w:t>2</w:t>
            </w:r>
            <w:r w:rsidRPr="00215072">
              <w:rPr>
                <w:rFonts w:ascii="Arial" w:eastAsia="Times New Roman" w:hAnsi="Arial" w:cs="Arial"/>
                <w:kern w:val="0"/>
                <w:sz w:val="24"/>
                <w:szCs w:val="24"/>
                <w:lang w:eastAsia="fi-FI"/>
                <w14:ligatures w14:val="none"/>
              </w:rPr>
              <w:t xml:space="preserve">  </w:t>
            </w:r>
          </w:p>
        </w:tc>
      </w:tr>
      <w:tr w:rsidR="00215072" w:rsidRPr="00215072" w14:paraId="0CDDB083" w14:textId="77777777" w:rsidTr="00215072">
        <w:trPr>
          <w:trHeight w:val="370"/>
        </w:trPr>
        <w:tc>
          <w:tcPr>
            <w:tcW w:w="5810" w:type="dxa"/>
            <w:tcBorders>
              <w:top w:val="nil"/>
              <w:left w:val="single" w:sz="8" w:space="0" w:color="auto"/>
              <w:bottom w:val="single" w:sz="4" w:space="0" w:color="auto"/>
              <w:right w:val="single" w:sz="4" w:space="0" w:color="auto"/>
            </w:tcBorders>
            <w:shd w:val="clear" w:color="000000" w:fill="92D050"/>
            <w:noWrap/>
            <w:vAlign w:val="bottom"/>
            <w:hideMark/>
          </w:tcPr>
          <w:p w14:paraId="21ECD72D"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Työmaan tunnit ulkopuolinen urakoitsija</w:t>
            </w:r>
          </w:p>
        </w:tc>
        <w:tc>
          <w:tcPr>
            <w:tcW w:w="839" w:type="dxa"/>
            <w:tcBorders>
              <w:top w:val="nil"/>
              <w:left w:val="nil"/>
              <w:bottom w:val="single" w:sz="4" w:space="0" w:color="auto"/>
              <w:right w:val="single" w:sz="4" w:space="0" w:color="auto"/>
            </w:tcBorders>
            <w:shd w:val="clear" w:color="000000" w:fill="92D050"/>
            <w:noWrap/>
            <w:vAlign w:val="bottom"/>
            <w:hideMark/>
          </w:tcPr>
          <w:p w14:paraId="16079CB6"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303</w:t>
            </w:r>
          </w:p>
        </w:tc>
        <w:tc>
          <w:tcPr>
            <w:tcW w:w="839" w:type="dxa"/>
            <w:tcBorders>
              <w:top w:val="nil"/>
              <w:left w:val="nil"/>
              <w:bottom w:val="single" w:sz="4" w:space="0" w:color="auto"/>
              <w:right w:val="single" w:sz="4" w:space="0" w:color="auto"/>
            </w:tcBorders>
            <w:shd w:val="clear" w:color="000000" w:fill="92D050"/>
            <w:noWrap/>
            <w:vAlign w:val="bottom"/>
            <w:hideMark/>
          </w:tcPr>
          <w:p w14:paraId="3D13B0E8"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479</w:t>
            </w:r>
          </w:p>
        </w:tc>
        <w:tc>
          <w:tcPr>
            <w:tcW w:w="839" w:type="dxa"/>
            <w:tcBorders>
              <w:top w:val="nil"/>
              <w:left w:val="nil"/>
              <w:bottom w:val="single" w:sz="4" w:space="0" w:color="auto"/>
              <w:right w:val="single" w:sz="4" w:space="0" w:color="auto"/>
            </w:tcBorders>
            <w:shd w:val="clear" w:color="000000" w:fill="92D050"/>
            <w:noWrap/>
            <w:vAlign w:val="bottom"/>
            <w:hideMark/>
          </w:tcPr>
          <w:p w14:paraId="3776965D"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636</w:t>
            </w:r>
          </w:p>
        </w:tc>
        <w:tc>
          <w:tcPr>
            <w:tcW w:w="839" w:type="dxa"/>
            <w:tcBorders>
              <w:top w:val="nil"/>
              <w:left w:val="nil"/>
              <w:bottom w:val="single" w:sz="4" w:space="0" w:color="auto"/>
              <w:right w:val="single" w:sz="4" w:space="0" w:color="auto"/>
            </w:tcBorders>
            <w:shd w:val="clear" w:color="000000" w:fill="92D050"/>
            <w:noWrap/>
            <w:vAlign w:val="bottom"/>
            <w:hideMark/>
          </w:tcPr>
          <w:p w14:paraId="5B733EB5"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814</w:t>
            </w:r>
          </w:p>
        </w:tc>
        <w:tc>
          <w:tcPr>
            <w:tcW w:w="786" w:type="dxa"/>
            <w:gridSpan w:val="2"/>
            <w:tcBorders>
              <w:top w:val="single" w:sz="4" w:space="0" w:color="auto"/>
              <w:left w:val="nil"/>
              <w:bottom w:val="single" w:sz="4" w:space="0" w:color="auto"/>
              <w:right w:val="single" w:sz="8" w:space="0" w:color="000000"/>
            </w:tcBorders>
            <w:shd w:val="clear" w:color="000000" w:fill="92D050"/>
            <w:noWrap/>
            <w:vAlign w:val="bottom"/>
            <w:hideMark/>
          </w:tcPr>
          <w:p w14:paraId="6F39862F"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1126</w:t>
            </w:r>
          </w:p>
        </w:tc>
      </w:tr>
      <w:tr w:rsidR="00215072" w:rsidRPr="00215072" w14:paraId="7ECCC188" w14:textId="77777777" w:rsidTr="00215072">
        <w:trPr>
          <w:trHeight w:val="370"/>
        </w:trPr>
        <w:tc>
          <w:tcPr>
            <w:tcW w:w="5810" w:type="dxa"/>
            <w:tcBorders>
              <w:top w:val="nil"/>
              <w:left w:val="single" w:sz="8" w:space="0" w:color="auto"/>
              <w:bottom w:val="single" w:sz="4" w:space="0" w:color="auto"/>
              <w:right w:val="single" w:sz="4" w:space="0" w:color="auto"/>
            </w:tcBorders>
            <w:shd w:val="clear" w:color="000000" w:fill="00B0F0"/>
            <w:noWrap/>
            <w:vAlign w:val="bottom"/>
            <w:hideMark/>
          </w:tcPr>
          <w:p w14:paraId="2FC959BF"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Työmaan tunnit omat työt</w:t>
            </w:r>
          </w:p>
        </w:tc>
        <w:tc>
          <w:tcPr>
            <w:tcW w:w="839" w:type="dxa"/>
            <w:tcBorders>
              <w:top w:val="nil"/>
              <w:left w:val="nil"/>
              <w:bottom w:val="single" w:sz="4" w:space="0" w:color="auto"/>
              <w:right w:val="single" w:sz="4" w:space="0" w:color="auto"/>
            </w:tcBorders>
            <w:shd w:val="clear" w:color="000000" w:fill="00B0F0"/>
            <w:noWrap/>
            <w:vAlign w:val="bottom"/>
            <w:hideMark/>
          </w:tcPr>
          <w:p w14:paraId="5A84CB27"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285</w:t>
            </w:r>
          </w:p>
        </w:tc>
        <w:tc>
          <w:tcPr>
            <w:tcW w:w="839" w:type="dxa"/>
            <w:tcBorders>
              <w:top w:val="nil"/>
              <w:left w:val="nil"/>
              <w:bottom w:val="single" w:sz="4" w:space="0" w:color="auto"/>
              <w:right w:val="single" w:sz="4" w:space="0" w:color="auto"/>
            </w:tcBorders>
            <w:shd w:val="clear" w:color="000000" w:fill="00B0F0"/>
            <w:noWrap/>
            <w:vAlign w:val="bottom"/>
            <w:hideMark/>
          </w:tcPr>
          <w:p w14:paraId="33727E0C"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451</w:t>
            </w:r>
          </w:p>
        </w:tc>
        <w:tc>
          <w:tcPr>
            <w:tcW w:w="839" w:type="dxa"/>
            <w:tcBorders>
              <w:top w:val="nil"/>
              <w:left w:val="nil"/>
              <w:bottom w:val="single" w:sz="4" w:space="0" w:color="auto"/>
              <w:right w:val="single" w:sz="4" w:space="0" w:color="auto"/>
            </w:tcBorders>
            <w:shd w:val="clear" w:color="000000" w:fill="00B0F0"/>
            <w:noWrap/>
            <w:vAlign w:val="bottom"/>
            <w:hideMark/>
          </w:tcPr>
          <w:p w14:paraId="4A5A54E5"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611</w:t>
            </w:r>
          </w:p>
        </w:tc>
        <w:tc>
          <w:tcPr>
            <w:tcW w:w="839" w:type="dxa"/>
            <w:tcBorders>
              <w:top w:val="nil"/>
              <w:left w:val="nil"/>
              <w:bottom w:val="single" w:sz="4" w:space="0" w:color="auto"/>
              <w:right w:val="single" w:sz="4" w:space="0" w:color="auto"/>
            </w:tcBorders>
            <w:shd w:val="clear" w:color="000000" w:fill="00B0F0"/>
            <w:noWrap/>
            <w:vAlign w:val="bottom"/>
            <w:hideMark/>
          </w:tcPr>
          <w:p w14:paraId="0677BA6C"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793</w:t>
            </w:r>
          </w:p>
        </w:tc>
        <w:tc>
          <w:tcPr>
            <w:tcW w:w="786" w:type="dxa"/>
            <w:gridSpan w:val="2"/>
            <w:tcBorders>
              <w:top w:val="single" w:sz="4" w:space="0" w:color="auto"/>
              <w:left w:val="nil"/>
              <w:bottom w:val="single" w:sz="4" w:space="0" w:color="auto"/>
              <w:right w:val="single" w:sz="8" w:space="0" w:color="000000"/>
            </w:tcBorders>
            <w:shd w:val="clear" w:color="000000" w:fill="00B0F0"/>
            <w:noWrap/>
            <w:vAlign w:val="bottom"/>
            <w:hideMark/>
          </w:tcPr>
          <w:p w14:paraId="3A3783EC"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1030</w:t>
            </w:r>
          </w:p>
        </w:tc>
      </w:tr>
      <w:tr w:rsidR="00215072" w:rsidRPr="00215072" w14:paraId="4454F3D8" w14:textId="77777777" w:rsidTr="00215072">
        <w:trPr>
          <w:trHeight w:val="370"/>
        </w:trPr>
        <w:tc>
          <w:tcPr>
            <w:tcW w:w="5810" w:type="dxa"/>
            <w:tcBorders>
              <w:top w:val="nil"/>
              <w:left w:val="single" w:sz="8" w:space="0" w:color="auto"/>
              <w:bottom w:val="single" w:sz="4" w:space="0" w:color="auto"/>
              <w:right w:val="single" w:sz="4" w:space="0" w:color="auto"/>
            </w:tcBorders>
            <w:shd w:val="clear" w:color="000000" w:fill="FFFF00"/>
            <w:noWrap/>
            <w:vAlign w:val="bottom"/>
            <w:hideMark/>
          </w:tcPr>
          <w:p w14:paraId="10298595"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Työmaan ulkopuolella tehty työ</w:t>
            </w:r>
          </w:p>
        </w:tc>
        <w:tc>
          <w:tcPr>
            <w:tcW w:w="839" w:type="dxa"/>
            <w:tcBorders>
              <w:top w:val="nil"/>
              <w:left w:val="nil"/>
              <w:bottom w:val="single" w:sz="4" w:space="0" w:color="auto"/>
              <w:right w:val="single" w:sz="4" w:space="0" w:color="auto"/>
            </w:tcBorders>
            <w:shd w:val="clear" w:color="000000" w:fill="FFFF00"/>
            <w:noWrap/>
            <w:vAlign w:val="bottom"/>
            <w:hideMark/>
          </w:tcPr>
          <w:p w14:paraId="23F64C52"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266</w:t>
            </w:r>
          </w:p>
        </w:tc>
        <w:tc>
          <w:tcPr>
            <w:tcW w:w="839" w:type="dxa"/>
            <w:tcBorders>
              <w:top w:val="nil"/>
              <w:left w:val="nil"/>
              <w:bottom w:val="single" w:sz="4" w:space="0" w:color="auto"/>
              <w:right w:val="single" w:sz="4" w:space="0" w:color="auto"/>
            </w:tcBorders>
            <w:shd w:val="clear" w:color="000000" w:fill="FFFF00"/>
            <w:noWrap/>
            <w:vAlign w:val="bottom"/>
            <w:hideMark/>
          </w:tcPr>
          <w:p w14:paraId="3ADA9931"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326</w:t>
            </w:r>
          </w:p>
        </w:tc>
        <w:tc>
          <w:tcPr>
            <w:tcW w:w="839" w:type="dxa"/>
            <w:tcBorders>
              <w:top w:val="nil"/>
              <w:left w:val="nil"/>
              <w:bottom w:val="single" w:sz="4" w:space="0" w:color="auto"/>
              <w:right w:val="single" w:sz="4" w:space="0" w:color="auto"/>
            </w:tcBorders>
            <w:shd w:val="clear" w:color="000000" w:fill="FFFF00"/>
            <w:noWrap/>
            <w:vAlign w:val="bottom"/>
            <w:hideMark/>
          </w:tcPr>
          <w:p w14:paraId="6F33B780"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431</w:t>
            </w:r>
          </w:p>
        </w:tc>
        <w:tc>
          <w:tcPr>
            <w:tcW w:w="839" w:type="dxa"/>
            <w:tcBorders>
              <w:top w:val="nil"/>
              <w:left w:val="nil"/>
              <w:bottom w:val="single" w:sz="4" w:space="0" w:color="auto"/>
              <w:right w:val="single" w:sz="4" w:space="0" w:color="auto"/>
            </w:tcBorders>
            <w:shd w:val="clear" w:color="000000" w:fill="FFFF00"/>
            <w:noWrap/>
            <w:vAlign w:val="bottom"/>
            <w:hideMark/>
          </w:tcPr>
          <w:p w14:paraId="2E13AD60"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552</w:t>
            </w:r>
          </w:p>
        </w:tc>
        <w:tc>
          <w:tcPr>
            <w:tcW w:w="786" w:type="dxa"/>
            <w:gridSpan w:val="2"/>
            <w:tcBorders>
              <w:top w:val="single" w:sz="4" w:space="0" w:color="auto"/>
              <w:left w:val="nil"/>
              <w:bottom w:val="single" w:sz="4" w:space="0" w:color="auto"/>
              <w:right w:val="single" w:sz="8" w:space="0" w:color="000000"/>
            </w:tcBorders>
            <w:shd w:val="clear" w:color="000000" w:fill="FFFF00"/>
            <w:noWrap/>
            <w:vAlign w:val="bottom"/>
            <w:hideMark/>
          </w:tcPr>
          <w:p w14:paraId="43EF09BA"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749</w:t>
            </w:r>
          </w:p>
        </w:tc>
      </w:tr>
      <w:tr w:rsidR="00215072" w:rsidRPr="00215072" w14:paraId="5D4934DC" w14:textId="77777777" w:rsidTr="00215072">
        <w:trPr>
          <w:trHeight w:val="370"/>
        </w:trPr>
        <w:tc>
          <w:tcPr>
            <w:tcW w:w="5810" w:type="dxa"/>
            <w:tcBorders>
              <w:top w:val="nil"/>
              <w:left w:val="single" w:sz="8" w:space="0" w:color="auto"/>
              <w:bottom w:val="single" w:sz="4" w:space="0" w:color="auto"/>
              <w:right w:val="single" w:sz="4" w:space="0" w:color="auto"/>
            </w:tcBorders>
            <w:shd w:val="clear" w:color="auto" w:fill="auto"/>
            <w:noWrap/>
            <w:vAlign w:val="bottom"/>
            <w:hideMark/>
          </w:tcPr>
          <w:p w14:paraId="0A1B860E" w14:textId="60DDD331"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Työtunni</w:t>
            </w:r>
            <w:r w:rsidR="004D00FE">
              <w:rPr>
                <w:rFonts w:ascii="Arial" w:eastAsia="Times New Roman" w:hAnsi="Arial" w:cs="Arial"/>
                <w:kern w:val="0"/>
                <w:sz w:val="24"/>
                <w:szCs w:val="24"/>
                <w:lang w:eastAsia="fi-FI"/>
                <w14:ligatures w14:val="none"/>
              </w:rPr>
              <w:t>t</w:t>
            </w:r>
            <w:r w:rsidRPr="00215072">
              <w:rPr>
                <w:rFonts w:ascii="Arial" w:eastAsia="Times New Roman" w:hAnsi="Arial" w:cs="Arial"/>
                <w:kern w:val="0"/>
                <w:sz w:val="24"/>
                <w:szCs w:val="24"/>
                <w:lang w:eastAsia="fi-FI"/>
                <w14:ligatures w14:val="none"/>
              </w:rPr>
              <w:t xml:space="preserve"> yhteensä</w:t>
            </w:r>
          </w:p>
        </w:tc>
        <w:tc>
          <w:tcPr>
            <w:tcW w:w="839" w:type="dxa"/>
            <w:tcBorders>
              <w:top w:val="nil"/>
              <w:left w:val="nil"/>
              <w:bottom w:val="single" w:sz="4" w:space="0" w:color="auto"/>
              <w:right w:val="single" w:sz="4" w:space="0" w:color="auto"/>
            </w:tcBorders>
            <w:shd w:val="clear" w:color="auto" w:fill="auto"/>
            <w:noWrap/>
            <w:vAlign w:val="bottom"/>
            <w:hideMark/>
          </w:tcPr>
          <w:p w14:paraId="5CF27FBB" w14:textId="77777777" w:rsidR="00215072" w:rsidRPr="00215072" w:rsidRDefault="00215072" w:rsidP="00215072">
            <w:pPr>
              <w:spacing w:after="0" w:line="240" w:lineRule="auto"/>
              <w:jc w:val="right"/>
              <w:rPr>
                <w:rFonts w:ascii="Arial" w:eastAsia="Times New Roman" w:hAnsi="Arial" w:cs="Arial"/>
                <w:b/>
                <w:bCs/>
                <w:kern w:val="0"/>
                <w:sz w:val="24"/>
                <w:szCs w:val="24"/>
                <w:lang w:eastAsia="fi-FI"/>
                <w14:ligatures w14:val="none"/>
              </w:rPr>
            </w:pPr>
            <w:r w:rsidRPr="00215072">
              <w:rPr>
                <w:rFonts w:ascii="Arial" w:eastAsia="Times New Roman" w:hAnsi="Arial" w:cs="Arial"/>
                <w:b/>
                <w:bCs/>
                <w:kern w:val="0"/>
                <w:sz w:val="24"/>
                <w:szCs w:val="24"/>
                <w:lang w:eastAsia="fi-FI"/>
                <w14:ligatures w14:val="none"/>
              </w:rPr>
              <w:t>854</w:t>
            </w:r>
          </w:p>
        </w:tc>
        <w:tc>
          <w:tcPr>
            <w:tcW w:w="839" w:type="dxa"/>
            <w:tcBorders>
              <w:top w:val="nil"/>
              <w:left w:val="nil"/>
              <w:bottom w:val="single" w:sz="4" w:space="0" w:color="auto"/>
              <w:right w:val="single" w:sz="4" w:space="0" w:color="auto"/>
            </w:tcBorders>
            <w:shd w:val="clear" w:color="auto" w:fill="auto"/>
            <w:noWrap/>
            <w:vAlign w:val="bottom"/>
            <w:hideMark/>
          </w:tcPr>
          <w:p w14:paraId="5E1B0F0F" w14:textId="77777777" w:rsidR="00215072" w:rsidRPr="00215072" w:rsidRDefault="00215072" w:rsidP="00215072">
            <w:pPr>
              <w:spacing w:after="0" w:line="240" w:lineRule="auto"/>
              <w:jc w:val="right"/>
              <w:rPr>
                <w:rFonts w:ascii="Arial" w:eastAsia="Times New Roman" w:hAnsi="Arial" w:cs="Arial"/>
                <w:b/>
                <w:bCs/>
                <w:kern w:val="0"/>
                <w:sz w:val="24"/>
                <w:szCs w:val="24"/>
                <w:lang w:eastAsia="fi-FI"/>
                <w14:ligatures w14:val="none"/>
              </w:rPr>
            </w:pPr>
            <w:r w:rsidRPr="00215072">
              <w:rPr>
                <w:rFonts w:ascii="Arial" w:eastAsia="Times New Roman" w:hAnsi="Arial" w:cs="Arial"/>
                <w:b/>
                <w:bCs/>
                <w:kern w:val="0"/>
                <w:sz w:val="24"/>
                <w:szCs w:val="24"/>
                <w:lang w:eastAsia="fi-FI"/>
                <w14:ligatures w14:val="none"/>
              </w:rPr>
              <w:t>1 256</w:t>
            </w:r>
          </w:p>
        </w:tc>
        <w:tc>
          <w:tcPr>
            <w:tcW w:w="839" w:type="dxa"/>
            <w:tcBorders>
              <w:top w:val="nil"/>
              <w:left w:val="nil"/>
              <w:bottom w:val="single" w:sz="4" w:space="0" w:color="auto"/>
              <w:right w:val="single" w:sz="4" w:space="0" w:color="auto"/>
            </w:tcBorders>
            <w:shd w:val="clear" w:color="auto" w:fill="auto"/>
            <w:noWrap/>
            <w:vAlign w:val="bottom"/>
            <w:hideMark/>
          </w:tcPr>
          <w:p w14:paraId="4F1DA264" w14:textId="77777777" w:rsidR="00215072" w:rsidRPr="00215072" w:rsidRDefault="00215072" w:rsidP="00215072">
            <w:pPr>
              <w:spacing w:after="0" w:line="240" w:lineRule="auto"/>
              <w:jc w:val="right"/>
              <w:rPr>
                <w:rFonts w:ascii="Arial" w:eastAsia="Times New Roman" w:hAnsi="Arial" w:cs="Arial"/>
                <w:b/>
                <w:bCs/>
                <w:kern w:val="0"/>
                <w:sz w:val="24"/>
                <w:szCs w:val="24"/>
                <w:lang w:eastAsia="fi-FI"/>
                <w14:ligatures w14:val="none"/>
              </w:rPr>
            </w:pPr>
            <w:r w:rsidRPr="00215072">
              <w:rPr>
                <w:rFonts w:ascii="Arial" w:eastAsia="Times New Roman" w:hAnsi="Arial" w:cs="Arial"/>
                <w:b/>
                <w:bCs/>
                <w:kern w:val="0"/>
                <w:sz w:val="24"/>
                <w:szCs w:val="24"/>
                <w:lang w:eastAsia="fi-FI"/>
                <w14:ligatures w14:val="none"/>
              </w:rPr>
              <w:t>1 678</w:t>
            </w:r>
          </w:p>
        </w:tc>
        <w:tc>
          <w:tcPr>
            <w:tcW w:w="839" w:type="dxa"/>
            <w:tcBorders>
              <w:top w:val="nil"/>
              <w:left w:val="nil"/>
              <w:bottom w:val="single" w:sz="4" w:space="0" w:color="auto"/>
              <w:right w:val="single" w:sz="4" w:space="0" w:color="auto"/>
            </w:tcBorders>
            <w:shd w:val="clear" w:color="auto" w:fill="auto"/>
            <w:noWrap/>
            <w:vAlign w:val="bottom"/>
            <w:hideMark/>
          </w:tcPr>
          <w:p w14:paraId="3EEBBE67" w14:textId="77777777" w:rsidR="00215072" w:rsidRPr="00215072" w:rsidRDefault="00215072" w:rsidP="00215072">
            <w:pPr>
              <w:spacing w:after="0" w:line="240" w:lineRule="auto"/>
              <w:jc w:val="right"/>
              <w:rPr>
                <w:rFonts w:ascii="Arial" w:eastAsia="Times New Roman" w:hAnsi="Arial" w:cs="Arial"/>
                <w:b/>
                <w:bCs/>
                <w:kern w:val="0"/>
                <w:sz w:val="24"/>
                <w:szCs w:val="24"/>
                <w:lang w:eastAsia="fi-FI"/>
                <w14:ligatures w14:val="none"/>
              </w:rPr>
            </w:pPr>
            <w:r w:rsidRPr="00215072">
              <w:rPr>
                <w:rFonts w:ascii="Arial" w:eastAsia="Times New Roman" w:hAnsi="Arial" w:cs="Arial"/>
                <w:b/>
                <w:bCs/>
                <w:kern w:val="0"/>
                <w:sz w:val="24"/>
                <w:szCs w:val="24"/>
                <w:lang w:eastAsia="fi-FI"/>
                <w14:ligatures w14:val="none"/>
              </w:rPr>
              <w:t>2 160</w:t>
            </w:r>
          </w:p>
        </w:tc>
        <w:tc>
          <w:tcPr>
            <w:tcW w:w="786"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74F45AB8" w14:textId="77777777" w:rsidR="00215072" w:rsidRPr="00215072" w:rsidRDefault="00215072" w:rsidP="00215072">
            <w:pPr>
              <w:spacing w:after="0" w:line="240" w:lineRule="auto"/>
              <w:jc w:val="right"/>
              <w:rPr>
                <w:rFonts w:ascii="Arial" w:eastAsia="Times New Roman" w:hAnsi="Arial" w:cs="Arial"/>
                <w:b/>
                <w:bCs/>
                <w:kern w:val="0"/>
                <w:sz w:val="24"/>
                <w:szCs w:val="24"/>
                <w:lang w:eastAsia="fi-FI"/>
                <w14:ligatures w14:val="none"/>
              </w:rPr>
            </w:pPr>
            <w:r w:rsidRPr="00215072">
              <w:rPr>
                <w:rFonts w:ascii="Arial" w:eastAsia="Times New Roman" w:hAnsi="Arial" w:cs="Arial"/>
                <w:b/>
                <w:bCs/>
                <w:kern w:val="0"/>
                <w:sz w:val="24"/>
                <w:szCs w:val="24"/>
                <w:lang w:eastAsia="fi-FI"/>
                <w14:ligatures w14:val="none"/>
              </w:rPr>
              <w:t>2905</w:t>
            </w:r>
          </w:p>
        </w:tc>
      </w:tr>
      <w:tr w:rsidR="00215072" w:rsidRPr="00215072" w14:paraId="351F441A" w14:textId="77777777" w:rsidTr="00215072">
        <w:trPr>
          <w:trHeight w:val="370"/>
        </w:trPr>
        <w:tc>
          <w:tcPr>
            <w:tcW w:w="5810" w:type="dxa"/>
            <w:tcBorders>
              <w:top w:val="nil"/>
              <w:left w:val="single" w:sz="8" w:space="0" w:color="auto"/>
              <w:bottom w:val="single" w:sz="4" w:space="0" w:color="auto"/>
              <w:right w:val="single" w:sz="4" w:space="0" w:color="auto"/>
            </w:tcBorders>
            <w:shd w:val="clear" w:color="auto" w:fill="auto"/>
            <w:noWrap/>
            <w:vAlign w:val="bottom"/>
            <w:hideMark/>
          </w:tcPr>
          <w:p w14:paraId="5C7DCB0A"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Työtunnit väestönsuojan neliömetrille</w:t>
            </w:r>
          </w:p>
        </w:tc>
        <w:tc>
          <w:tcPr>
            <w:tcW w:w="839" w:type="dxa"/>
            <w:tcBorders>
              <w:top w:val="nil"/>
              <w:left w:val="nil"/>
              <w:bottom w:val="single" w:sz="4" w:space="0" w:color="auto"/>
              <w:right w:val="single" w:sz="4" w:space="0" w:color="auto"/>
            </w:tcBorders>
            <w:shd w:val="clear" w:color="auto" w:fill="auto"/>
            <w:noWrap/>
            <w:vAlign w:val="bottom"/>
            <w:hideMark/>
          </w:tcPr>
          <w:p w14:paraId="60E326C8"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43</w:t>
            </w:r>
          </w:p>
        </w:tc>
        <w:tc>
          <w:tcPr>
            <w:tcW w:w="839" w:type="dxa"/>
            <w:tcBorders>
              <w:top w:val="nil"/>
              <w:left w:val="nil"/>
              <w:bottom w:val="single" w:sz="4" w:space="0" w:color="auto"/>
              <w:right w:val="single" w:sz="4" w:space="0" w:color="auto"/>
            </w:tcBorders>
            <w:shd w:val="clear" w:color="auto" w:fill="auto"/>
            <w:noWrap/>
            <w:vAlign w:val="bottom"/>
            <w:hideMark/>
          </w:tcPr>
          <w:p w14:paraId="0553B2EE"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28</w:t>
            </w:r>
          </w:p>
        </w:tc>
        <w:tc>
          <w:tcPr>
            <w:tcW w:w="839" w:type="dxa"/>
            <w:tcBorders>
              <w:top w:val="nil"/>
              <w:left w:val="nil"/>
              <w:bottom w:val="single" w:sz="4" w:space="0" w:color="auto"/>
              <w:right w:val="single" w:sz="4" w:space="0" w:color="auto"/>
            </w:tcBorders>
            <w:shd w:val="clear" w:color="auto" w:fill="auto"/>
            <w:noWrap/>
            <w:vAlign w:val="bottom"/>
            <w:hideMark/>
          </w:tcPr>
          <w:p w14:paraId="770419FE"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25</w:t>
            </w:r>
          </w:p>
        </w:tc>
        <w:tc>
          <w:tcPr>
            <w:tcW w:w="839" w:type="dxa"/>
            <w:tcBorders>
              <w:top w:val="nil"/>
              <w:left w:val="nil"/>
              <w:bottom w:val="single" w:sz="4" w:space="0" w:color="auto"/>
              <w:right w:val="nil"/>
            </w:tcBorders>
            <w:shd w:val="clear" w:color="auto" w:fill="auto"/>
            <w:noWrap/>
            <w:vAlign w:val="bottom"/>
            <w:hideMark/>
          </w:tcPr>
          <w:p w14:paraId="736614B0"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24</w:t>
            </w:r>
          </w:p>
        </w:tc>
        <w:tc>
          <w:tcPr>
            <w:tcW w:w="786" w:type="dxa"/>
            <w:gridSpan w:val="2"/>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2E34A80A"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22</w:t>
            </w:r>
          </w:p>
        </w:tc>
      </w:tr>
      <w:tr w:rsidR="00215072" w:rsidRPr="00215072" w14:paraId="0CD648C7" w14:textId="77777777" w:rsidTr="00215072">
        <w:trPr>
          <w:trHeight w:val="370"/>
        </w:trPr>
        <w:tc>
          <w:tcPr>
            <w:tcW w:w="5810" w:type="dxa"/>
            <w:tcBorders>
              <w:top w:val="nil"/>
              <w:left w:val="single" w:sz="8" w:space="0" w:color="auto"/>
              <w:bottom w:val="nil"/>
              <w:right w:val="nil"/>
            </w:tcBorders>
            <w:shd w:val="clear" w:color="auto" w:fill="auto"/>
            <w:noWrap/>
            <w:vAlign w:val="bottom"/>
            <w:hideMark/>
          </w:tcPr>
          <w:p w14:paraId="0B846354"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 </w:t>
            </w:r>
          </w:p>
        </w:tc>
        <w:tc>
          <w:tcPr>
            <w:tcW w:w="839" w:type="dxa"/>
            <w:tcBorders>
              <w:top w:val="nil"/>
              <w:left w:val="nil"/>
              <w:bottom w:val="nil"/>
              <w:right w:val="nil"/>
            </w:tcBorders>
            <w:shd w:val="clear" w:color="auto" w:fill="auto"/>
            <w:noWrap/>
            <w:vAlign w:val="bottom"/>
            <w:hideMark/>
          </w:tcPr>
          <w:p w14:paraId="70E344BC"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p>
        </w:tc>
        <w:tc>
          <w:tcPr>
            <w:tcW w:w="839" w:type="dxa"/>
            <w:tcBorders>
              <w:top w:val="nil"/>
              <w:left w:val="nil"/>
              <w:bottom w:val="nil"/>
              <w:right w:val="nil"/>
            </w:tcBorders>
            <w:shd w:val="clear" w:color="auto" w:fill="auto"/>
            <w:noWrap/>
            <w:vAlign w:val="bottom"/>
            <w:hideMark/>
          </w:tcPr>
          <w:p w14:paraId="59D0DB7A" w14:textId="77777777" w:rsidR="00215072" w:rsidRPr="00215072" w:rsidRDefault="00215072" w:rsidP="00215072">
            <w:pPr>
              <w:spacing w:after="0" w:line="240" w:lineRule="auto"/>
              <w:rPr>
                <w:rFonts w:ascii="Times New Roman" w:eastAsia="Times New Roman" w:hAnsi="Times New Roman" w:cs="Times New Roman"/>
                <w:kern w:val="0"/>
                <w:sz w:val="20"/>
                <w:szCs w:val="20"/>
                <w:lang w:eastAsia="fi-FI"/>
                <w14:ligatures w14:val="none"/>
              </w:rPr>
            </w:pPr>
          </w:p>
        </w:tc>
        <w:tc>
          <w:tcPr>
            <w:tcW w:w="839" w:type="dxa"/>
            <w:tcBorders>
              <w:top w:val="nil"/>
              <w:left w:val="nil"/>
              <w:bottom w:val="nil"/>
              <w:right w:val="nil"/>
            </w:tcBorders>
            <w:shd w:val="clear" w:color="auto" w:fill="auto"/>
            <w:noWrap/>
            <w:vAlign w:val="bottom"/>
            <w:hideMark/>
          </w:tcPr>
          <w:p w14:paraId="3C80C8D6" w14:textId="77777777" w:rsidR="00215072" w:rsidRPr="00215072" w:rsidRDefault="00215072" w:rsidP="00215072">
            <w:pPr>
              <w:spacing w:after="0" w:line="240" w:lineRule="auto"/>
              <w:rPr>
                <w:rFonts w:ascii="Times New Roman" w:eastAsia="Times New Roman" w:hAnsi="Times New Roman" w:cs="Times New Roman"/>
                <w:kern w:val="0"/>
                <w:sz w:val="20"/>
                <w:szCs w:val="20"/>
                <w:lang w:eastAsia="fi-FI"/>
                <w14:ligatures w14:val="none"/>
              </w:rPr>
            </w:pPr>
          </w:p>
        </w:tc>
        <w:tc>
          <w:tcPr>
            <w:tcW w:w="839" w:type="dxa"/>
            <w:tcBorders>
              <w:top w:val="nil"/>
              <w:left w:val="nil"/>
              <w:bottom w:val="nil"/>
              <w:right w:val="nil"/>
            </w:tcBorders>
            <w:shd w:val="clear" w:color="auto" w:fill="auto"/>
            <w:noWrap/>
            <w:vAlign w:val="bottom"/>
            <w:hideMark/>
          </w:tcPr>
          <w:p w14:paraId="33A59AB3" w14:textId="77777777" w:rsidR="00215072" w:rsidRPr="00215072" w:rsidRDefault="00215072" w:rsidP="00215072">
            <w:pPr>
              <w:spacing w:after="0" w:line="240" w:lineRule="auto"/>
              <w:rPr>
                <w:rFonts w:ascii="Times New Roman" w:eastAsia="Times New Roman" w:hAnsi="Times New Roman" w:cs="Times New Roman"/>
                <w:kern w:val="0"/>
                <w:sz w:val="20"/>
                <w:szCs w:val="20"/>
                <w:lang w:eastAsia="fi-FI"/>
                <w14:ligatures w14:val="none"/>
              </w:rPr>
            </w:pPr>
          </w:p>
        </w:tc>
        <w:tc>
          <w:tcPr>
            <w:tcW w:w="212" w:type="dxa"/>
            <w:tcBorders>
              <w:top w:val="nil"/>
              <w:left w:val="nil"/>
              <w:bottom w:val="nil"/>
              <w:right w:val="nil"/>
            </w:tcBorders>
            <w:shd w:val="clear" w:color="auto" w:fill="auto"/>
            <w:noWrap/>
            <w:vAlign w:val="bottom"/>
            <w:hideMark/>
          </w:tcPr>
          <w:p w14:paraId="732CA083" w14:textId="77777777" w:rsidR="00215072" w:rsidRPr="00215072" w:rsidRDefault="00215072" w:rsidP="00215072">
            <w:pPr>
              <w:spacing w:after="0" w:line="240" w:lineRule="auto"/>
              <w:rPr>
                <w:rFonts w:ascii="Times New Roman" w:eastAsia="Times New Roman" w:hAnsi="Times New Roman" w:cs="Times New Roman"/>
                <w:kern w:val="0"/>
                <w:sz w:val="20"/>
                <w:szCs w:val="20"/>
                <w:lang w:eastAsia="fi-FI"/>
                <w14:ligatures w14:val="none"/>
              </w:rPr>
            </w:pPr>
          </w:p>
        </w:tc>
        <w:tc>
          <w:tcPr>
            <w:tcW w:w="574" w:type="dxa"/>
            <w:tcBorders>
              <w:top w:val="nil"/>
              <w:left w:val="nil"/>
              <w:bottom w:val="nil"/>
              <w:right w:val="single" w:sz="8" w:space="0" w:color="auto"/>
            </w:tcBorders>
            <w:shd w:val="clear" w:color="auto" w:fill="auto"/>
            <w:noWrap/>
            <w:vAlign w:val="bottom"/>
            <w:hideMark/>
          </w:tcPr>
          <w:p w14:paraId="1216B97A"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 </w:t>
            </w:r>
          </w:p>
        </w:tc>
      </w:tr>
      <w:tr w:rsidR="00215072" w:rsidRPr="00215072" w14:paraId="66294989" w14:textId="77777777" w:rsidTr="00215072">
        <w:trPr>
          <w:trHeight w:val="370"/>
        </w:trPr>
        <w:tc>
          <w:tcPr>
            <w:tcW w:w="581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3B2AA66"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Väestönsuojan pinta-ala m</w:t>
            </w:r>
            <w:r w:rsidRPr="00215072">
              <w:rPr>
                <w:rFonts w:ascii="Arial" w:eastAsia="Times New Roman" w:hAnsi="Arial" w:cs="Arial"/>
                <w:kern w:val="0"/>
                <w:sz w:val="24"/>
                <w:szCs w:val="24"/>
                <w:vertAlign w:val="superscript"/>
                <w:lang w:eastAsia="fi-FI"/>
                <w14:ligatures w14:val="none"/>
              </w:rPr>
              <w:t>2</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483FD60F"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20</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5403D078"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45</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31616F53"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66</w:t>
            </w:r>
          </w:p>
        </w:tc>
        <w:tc>
          <w:tcPr>
            <w:tcW w:w="839" w:type="dxa"/>
            <w:tcBorders>
              <w:top w:val="single" w:sz="4" w:space="0" w:color="auto"/>
              <w:left w:val="nil"/>
              <w:bottom w:val="single" w:sz="4" w:space="0" w:color="auto"/>
              <w:right w:val="single" w:sz="4" w:space="0" w:color="auto"/>
            </w:tcBorders>
            <w:shd w:val="clear" w:color="auto" w:fill="auto"/>
            <w:noWrap/>
            <w:vAlign w:val="bottom"/>
            <w:hideMark/>
          </w:tcPr>
          <w:p w14:paraId="01F893EE"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90</w:t>
            </w:r>
          </w:p>
        </w:tc>
        <w:tc>
          <w:tcPr>
            <w:tcW w:w="786"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384FBD98"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135</w:t>
            </w:r>
          </w:p>
        </w:tc>
      </w:tr>
      <w:tr w:rsidR="00215072" w:rsidRPr="00215072" w14:paraId="6269007B" w14:textId="77777777" w:rsidTr="00215072">
        <w:trPr>
          <w:trHeight w:val="310"/>
        </w:trPr>
        <w:tc>
          <w:tcPr>
            <w:tcW w:w="5810" w:type="dxa"/>
            <w:tcBorders>
              <w:top w:val="nil"/>
              <w:left w:val="single" w:sz="8" w:space="0" w:color="auto"/>
              <w:bottom w:val="single" w:sz="4" w:space="0" w:color="auto"/>
              <w:right w:val="single" w:sz="4" w:space="0" w:color="auto"/>
            </w:tcBorders>
            <w:shd w:val="clear" w:color="000000" w:fill="92D050"/>
            <w:noWrap/>
            <w:vAlign w:val="bottom"/>
            <w:hideMark/>
          </w:tcPr>
          <w:p w14:paraId="58F6EB07"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Työmaan tunnit ulkopuolinen urakoitsija %</w:t>
            </w:r>
          </w:p>
        </w:tc>
        <w:tc>
          <w:tcPr>
            <w:tcW w:w="839" w:type="dxa"/>
            <w:tcBorders>
              <w:top w:val="nil"/>
              <w:left w:val="nil"/>
              <w:bottom w:val="single" w:sz="4" w:space="0" w:color="auto"/>
              <w:right w:val="single" w:sz="4" w:space="0" w:color="auto"/>
            </w:tcBorders>
            <w:shd w:val="clear" w:color="000000" w:fill="92D050"/>
            <w:noWrap/>
            <w:vAlign w:val="bottom"/>
            <w:hideMark/>
          </w:tcPr>
          <w:p w14:paraId="13A358B7"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35,4</w:t>
            </w:r>
          </w:p>
        </w:tc>
        <w:tc>
          <w:tcPr>
            <w:tcW w:w="839" w:type="dxa"/>
            <w:tcBorders>
              <w:top w:val="nil"/>
              <w:left w:val="nil"/>
              <w:bottom w:val="single" w:sz="4" w:space="0" w:color="auto"/>
              <w:right w:val="single" w:sz="4" w:space="0" w:color="auto"/>
            </w:tcBorders>
            <w:shd w:val="clear" w:color="000000" w:fill="92D050"/>
            <w:noWrap/>
            <w:vAlign w:val="bottom"/>
            <w:hideMark/>
          </w:tcPr>
          <w:p w14:paraId="7C8F30E7"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38,1</w:t>
            </w:r>
          </w:p>
        </w:tc>
        <w:tc>
          <w:tcPr>
            <w:tcW w:w="839" w:type="dxa"/>
            <w:tcBorders>
              <w:top w:val="nil"/>
              <w:left w:val="nil"/>
              <w:bottom w:val="single" w:sz="4" w:space="0" w:color="auto"/>
              <w:right w:val="single" w:sz="4" w:space="0" w:color="auto"/>
            </w:tcBorders>
            <w:shd w:val="clear" w:color="000000" w:fill="92D050"/>
            <w:noWrap/>
            <w:vAlign w:val="bottom"/>
            <w:hideMark/>
          </w:tcPr>
          <w:p w14:paraId="1C54189D"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37,9</w:t>
            </w:r>
          </w:p>
        </w:tc>
        <w:tc>
          <w:tcPr>
            <w:tcW w:w="839" w:type="dxa"/>
            <w:tcBorders>
              <w:top w:val="nil"/>
              <w:left w:val="nil"/>
              <w:bottom w:val="single" w:sz="4" w:space="0" w:color="auto"/>
              <w:right w:val="single" w:sz="4" w:space="0" w:color="auto"/>
            </w:tcBorders>
            <w:shd w:val="clear" w:color="000000" w:fill="92D050"/>
            <w:noWrap/>
            <w:vAlign w:val="bottom"/>
            <w:hideMark/>
          </w:tcPr>
          <w:p w14:paraId="6140FAE7"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37,7</w:t>
            </w:r>
          </w:p>
        </w:tc>
        <w:tc>
          <w:tcPr>
            <w:tcW w:w="786" w:type="dxa"/>
            <w:gridSpan w:val="2"/>
            <w:tcBorders>
              <w:top w:val="single" w:sz="4" w:space="0" w:color="auto"/>
              <w:left w:val="nil"/>
              <w:bottom w:val="single" w:sz="4" w:space="0" w:color="auto"/>
              <w:right w:val="single" w:sz="8" w:space="0" w:color="000000"/>
            </w:tcBorders>
            <w:shd w:val="clear" w:color="000000" w:fill="92D050"/>
            <w:noWrap/>
            <w:vAlign w:val="bottom"/>
            <w:hideMark/>
          </w:tcPr>
          <w:p w14:paraId="14E64EC8"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38,8</w:t>
            </w:r>
          </w:p>
        </w:tc>
      </w:tr>
      <w:tr w:rsidR="00215072" w:rsidRPr="00215072" w14:paraId="6A7DD341" w14:textId="77777777" w:rsidTr="00215072">
        <w:trPr>
          <w:trHeight w:val="310"/>
        </w:trPr>
        <w:tc>
          <w:tcPr>
            <w:tcW w:w="5810" w:type="dxa"/>
            <w:tcBorders>
              <w:top w:val="nil"/>
              <w:left w:val="single" w:sz="8" w:space="0" w:color="auto"/>
              <w:bottom w:val="single" w:sz="4" w:space="0" w:color="auto"/>
              <w:right w:val="single" w:sz="4" w:space="0" w:color="auto"/>
            </w:tcBorders>
            <w:shd w:val="clear" w:color="000000" w:fill="00B0F0"/>
            <w:noWrap/>
            <w:vAlign w:val="bottom"/>
            <w:hideMark/>
          </w:tcPr>
          <w:p w14:paraId="714466DE"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Työmaan tunnit omat työt %</w:t>
            </w:r>
          </w:p>
        </w:tc>
        <w:tc>
          <w:tcPr>
            <w:tcW w:w="839" w:type="dxa"/>
            <w:tcBorders>
              <w:top w:val="nil"/>
              <w:left w:val="nil"/>
              <w:bottom w:val="single" w:sz="4" w:space="0" w:color="auto"/>
              <w:right w:val="single" w:sz="4" w:space="0" w:color="auto"/>
            </w:tcBorders>
            <w:shd w:val="clear" w:color="000000" w:fill="00B0F0"/>
            <w:noWrap/>
            <w:vAlign w:val="bottom"/>
            <w:hideMark/>
          </w:tcPr>
          <w:p w14:paraId="682B39F9"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33,4</w:t>
            </w:r>
          </w:p>
        </w:tc>
        <w:tc>
          <w:tcPr>
            <w:tcW w:w="839" w:type="dxa"/>
            <w:tcBorders>
              <w:top w:val="nil"/>
              <w:left w:val="nil"/>
              <w:bottom w:val="single" w:sz="4" w:space="0" w:color="auto"/>
              <w:right w:val="single" w:sz="4" w:space="0" w:color="auto"/>
            </w:tcBorders>
            <w:shd w:val="clear" w:color="000000" w:fill="00B0F0"/>
            <w:noWrap/>
            <w:vAlign w:val="bottom"/>
            <w:hideMark/>
          </w:tcPr>
          <w:p w14:paraId="5D5BF1E0"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35,9</w:t>
            </w:r>
          </w:p>
        </w:tc>
        <w:tc>
          <w:tcPr>
            <w:tcW w:w="839" w:type="dxa"/>
            <w:tcBorders>
              <w:top w:val="nil"/>
              <w:left w:val="nil"/>
              <w:bottom w:val="single" w:sz="4" w:space="0" w:color="auto"/>
              <w:right w:val="single" w:sz="4" w:space="0" w:color="auto"/>
            </w:tcBorders>
            <w:shd w:val="clear" w:color="000000" w:fill="00B0F0"/>
            <w:noWrap/>
            <w:vAlign w:val="bottom"/>
            <w:hideMark/>
          </w:tcPr>
          <w:p w14:paraId="2B5B1836"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36,4</w:t>
            </w:r>
          </w:p>
        </w:tc>
        <w:tc>
          <w:tcPr>
            <w:tcW w:w="839" w:type="dxa"/>
            <w:tcBorders>
              <w:top w:val="nil"/>
              <w:left w:val="nil"/>
              <w:bottom w:val="single" w:sz="4" w:space="0" w:color="auto"/>
              <w:right w:val="nil"/>
            </w:tcBorders>
            <w:shd w:val="clear" w:color="000000" w:fill="00B0F0"/>
            <w:noWrap/>
            <w:vAlign w:val="bottom"/>
            <w:hideMark/>
          </w:tcPr>
          <w:p w14:paraId="60BC906E"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36,7</w:t>
            </w:r>
          </w:p>
        </w:tc>
        <w:tc>
          <w:tcPr>
            <w:tcW w:w="786" w:type="dxa"/>
            <w:gridSpan w:val="2"/>
            <w:tcBorders>
              <w:top w:val="single" w:sz="4" w:space="0" w:color="auto"/>
              <w:left w:val="single" w:sz="4" w:space="0" w:color="auto"/>
              <w:bottom w:val="single" w:sz="4" w:space="0" w:color="auto"/>
              <w:right w:val="single" w:sz="8" w:space="0" w:color="000000"/>
            </w:tcBorders>
            <w:shd w:val="clear" w:color="000000" w:fill="00B0F0"/>
            <w:noWrap/>
            <w:vAlign w:val="bottom"/>
            <w:hideMark/>
          </w:tcPr>
          <w:p w14:paraId="3CFDAA5F"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35,5</w:t>
            </w:r>
          </w:p>
        </w:tc>
      </w:tr>
      <w:tr w:rsidR="00215072" w:rsidRPr="00215072" w14:paraId="197D9B8A" w14:textId="77777777" w:rsidTr="00215072">
        <w:trPr>
          <w:trHeight w:val="310"/>
        </w:trPr>
        <w:tc>
          <w:tcPr>
            <w:tcW w:w="5810" w:type="dxa"/>
            <w:tcBorders>
              <w:top w:val="nil"/>
              <w:left w:val="single" w:sz="8" w:space="0" w:color="auto"/>
              <w:bottom w:val="single" w:sz="4" w:space="0" w:color="auto"/>
              <w:right w:val="single" w:sz="4" w:space="0" w:color="auto"/>
            </w:tcBorders>
            <w:shd w:val="clear" w:color="000000" w:fill="FFFF00"/>
            <w:noWrap/>
            <w:vAlign w:val="bottom"/>
            <w:hideMark/>
          </w:tcPr>
          <w:p w14:paraId="781E4F29" w14:textId="77777777"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Työmaan ulkopuolella tehty työ %</w:t>
            </w:r>
          </w:p>
        </w:tc>
        <w:tc>
          <w:tcPr>
            <w:tcW w:w="839" w:type="dxa"/>
            <w:tcBorders>
              <w:top w:val="nil"/>
              <w:left w:val="nil"/>
              <w:bottom w:val="single" w:sz="4" w:space="0" w:color="auto"/>
              <w:right w:val="single" w:sz="4" w:space="0" w:color="auto"/>
            </w:tcBorders>
            <w:shd w:val="clear" w:color="000000" w:fill="FFFF00"/>
            <w:noWrap/>
            <w:vAlign w:val="bottom"/>
            <w:hideMark/>
          </w:tcPr>
          <w:p w14:paraId="3DCFBCF9"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31,2</w:t>
            </w:r>
          </w:p>
        </w:tc>
        <w:tc>
          <w:tcPr>
            <w:tcW w:w="839" w:type="dxa"/>
            <w:tcBorders>
              <w:top w:val="nil"/>
              <w:left w:val="nil"/>
              <w:bottom w:val="single" w:sz="4" w:space="0" w:color="auto"/>
              <w:right w:val="single" w:sz="4" w:space="0" w:color="auto"/>
            </w:tcBorders>
            <w:shd w:val="clear" w:color="000000" w:fill="FFFF00"/>
            <w:noWrap/>
            <w:vAlign w:val="bottom"/>
            <w:hideMark/>
          </w:tcPr>
          <w:p w14:paraId="659177A5"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25,9</w:t>
            </w:r>
          </w:p>
        </w:tc>
        <w:tc>
          <w:tcPr>
            <w:tcW w:w="839" w:type="dxa"/>
            <w:tcBorders>
              <w:top w:val="nil"/>
              <w:left w:val="nil"/>
              <w:bottom w:val="single" w:sz="4" w:space="0" w:color="auto"/>
              <w:right w:val="single" w:sz="4" w:space="0" w:color="auto"/>
            </w:tcBorders>
            <w:shd w:val="clear" w:color="000000" w:fill="FFFF00"/>
            <w:noWrap/>
            <w:vAlign w:val="bottom"/>
            <w:hideMark/>
          </w:tcPr>
          <w:p w14:paraId="18A7D0F5"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25,7</w:t>
            </w:r>
          </w:p>
        </w:tc>
        <w:tc>
          <w:tcPr>
            <w:tcW w:w="839" w:type="dxa"/>
            <w:tcBorders>
              <w:top w:val="nil"/>
              <w:left w:val="nil"/>
              <w:bottom w:val="single" w:sz="4" w:space="0" w:color="auto"/>
              <w:right w:val="nil"/>
            </w:tcBorders>
            <w:shd w:val="clear" w:color="000000" w:fill="FFFF00"/>
            <w:noWrap/>
            <w:vAlign w:val="bottom"/>
            <w:hideMark/>
          </w:tcPr>
          <w:p w14:paraId="7907FC93"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25,6</w:t>
            </w:r>
          </w:p>
        </w:tc>
        <w:tc>
          <w:tcPr>
            <w:tcW w:w="786" w:type="dxa"/>
            <w:gridSpan w:val="2"/>
            <w:tcBorders>
              <w:top w:val="single" w:sz="4" w:space="0" w:color="auto"/>
              <w:left w:val="single" w:sz="4" w:space="0" w:color="auto"/>
              <w:bottom w:val="single" w:sz="4" w:space="0" w:color="auto"/>
              <w:right w:val="single" w:sz="8" w:space="0" w:color="000000"/>
            </w:tcBorders>
            <w:shd w:val="clear" w:color="000000" w:fill="FFFF00"/>
            <w:noWrap/>
            <w:vAlign w:val="bottom"/>
            <w:hideMark/>
          </w:tcPr>
          <w:p w14:paraId="42718EBC"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25,8</w:t>
            </w:r>
          </w:p>
        </w:tc>
      </w:tr>
      <w:tr w:rsidR="00215072" w:rsidRPr="00215072" w14:paraId="7CF39023" w14:textId="77777777" w:rsidTr="00215072">
        <w:trPr>
          <w:trHeight w:val="320"/>
        </w:trPr>
        <w:tc>
          <w:tcPr>
            <w:tcW w:w="5810" w:type="dxa"/>
            <w:tcBorders>
              <w:top w:val="nil"/>
              <w:left w:val="single" w:sz="8" w:space="0" w:color="auto"/>
              <w:bottom w:val="single" w:sz="8" w:space="0" w:color="auto"/>
              <w:right w:val="single" w:sz="4" w:space="0" w:color="auto"/>
            </w:tcBorders>
            <w:shd w:val="clear" w:color="auto" w:fill="auto"/>
            <w:noWrap/>
            <w:vAlign w:val="bottom"/>
            <w:hideMark/>
          </w:tcPr>
          <w:p w14:paraId="02C4BD6D" w14:textId="3538D8B1" w:rsidR="00215072" w:rsidRPr="00215072" w:rsidRDefault="00215072" w:rsidP="00215072">
            <w:pPr>
              <w:spacing w:after="0" w:line="240" w:lineRule="auto"/>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Työtunni</w:t>
            </w:r>
            <w:r w:rsidR="004D00FE">
              <w:rPr>
                <w:rFonts w:ascii="Arial" w:eastAsia="Times New Roman" w:hAnsi="Arial" w:cs="Arial"/>
                <w:kern w:val="0"/>
                <w:sz w:val="24"/>
                <w:szCs w:val="24"/>
                <w:lang w:eastAsia="fi-FI"/>
                <w14:ligatures w14:val="none"/>
              </w:rPr>
              <w:t>t</w:t>
            </w:r>
            <w:r w:rsidRPr="00215072">
              <w:rPr>
                <w:rFonts w:ascii="Arial" w:eastAsia="Times New Roman" w:hAnsi="Arial" w:cs="Arial"/>
                <w:kern w:val="0"/>
                <w:sz w:val="24"/>
                <w:szCs w:val="24"/>
                <w:lang w:eastAsia="fi-FI"/>
                <w14:ligatures w14:val="none"/>
              </w:rPr>
              <w:t xml:space="preserve"> yhteensä %</w:t>
            </w:r>
          </w:p>
        </w:tc>
        <w:tc>
          <w:tcPr>
            <w:tcW w:w="839" w:type="dxa"/>
            <w:tcBorders>
              <w:top w:val="nil"/>
              <w:left w:val="nil"/>
              <w:bottom w:val="single" w:sz="8" w:space="0" w:color="auto"/>
              <w:right w:val="single" w:sz="4" w:space="0" w:color="auto"/>
            </w:tcBorders>
            <w:shd w:val="clear" w:color="auto" w:fill="auto"/>
            <w:noWrap/>
            <w:vAlign w:val="bottom"/>
            <w:hideMark/>
          </w:tcPr>
          <w:p w14:paraId="50A3AC3A"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100</w:t>
            </w:r>
          </w:p>
        </w:tc>
        <w:tc>
          <w:tcPr>
            <w:tcW w:w="839" w:type="dxa"/>
            <w:tcBorders>
              <w:top w:val="nil"/>
              <w:left w:val="nil"/>
              <w:bottom w:val="single" w:sz="8" w:space="0" w:color="auto"/>
              <w:right w:val="single" w:sz="4" w:space="0" w:color="auto"/>
            </w:tcBorders>
            <w:shd w:val="clear" w:color="auto" w:fill="auto"/>
            <w:noWrap/>
            <w:vAlign w:val="bottom"/>
            <w:hideMark/>
          </w:tcPr>
          <w:p w14:paraId="32131EAA"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100</w:t>
            </w:r>
          </w:p>
        </w:tc>
        <w:tc>
          <w:tcPr>
            <w:tcW w:w="839" w:type="dxa"/>
            <w:tcBorders>
              <w:top w:val="nil"/>
              <w:left w:val="nil"/>
              <w:bottom w:val="single" w:sz="8" w:space="0" w:color="auto"/>
              <w:right w:val="single" w:sz="4" w:space="0" w:color="auto"/>
            </w:tcBorders>
            <w:shd w:val="clear" w:color="auto" w:fill="auto"/>
            <w:noWrap/>
            <w:vAlign w:val="bottom"/>
            <w:hideMark/>
          </w:tcPr>
          <w:p w14:paraId="228C3853"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100</w:t>
            </w:r>
          </w:p>
        </w:tc>
        <w:tc>
          <w:tcPr>
            <w:tcW w:w="839" w:type="dxa"/>
            <w:tcBorders>
              <w:top w:val="nil"/>
              <w:left w:val="nil"/>
              <w:bottom w:val="single" w:sz="8" w:space="0" w:color="auto"/>
              <w:right w:val="nil"/>
            </w:tcBorders>
            <w:shd w:val="clear" w:color="auto" w:fill="auto"/>
            <w:noWrap/>
            <w:vAlign w:val="bottom"/>
            <w:hideMark/>
          </w:tcPr>
          <w:p w14:paraId="78599673" w14:textId="77777777" w:rsidR="00215072" w:rsidRPr="00215072" w:rsidRDefault="00215072" w:rsidP="00215072">
            <w:pPr>
              <w:spacing w:after="0" w:line="240" w:lineRule="auto"/>
              <w:jc w:val="right"/>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100</w:t>
            </w:r>
          </w:p>
        </w:tc>
        <w:tc>
          <w:tcPr>
            <w:tcW w:w="786" w:type="dxa"/>
            <w:gridSpan w:val="2"/>
            <w:tcBorders>
              <w:top w:val="single" w:sz="4" w:space="0" w:color="auto"/>
              <w:left w:val="single" w:sz="4" w:space="0" w:color="auto"/>
              <w:bottom w:val="single" w:sz="8" w:space="0" w:color="auto"/>
              <w:right w:val="single" w:sz="8" w:space="0" w:color="000000"/>
            </w:tcBorders>
            <w:shd w:val="clear" w:color="auto" w:fill="auto"/>
            <w:noWrap/>
            <w:vAlign w:val="bottom"/>
            <w:hideMark/>
          </w:tcPr>
          <w:p w14:paraId="1FEDB2DD" w14:textId="77777777" w:rsidR="00215072" w:rsidRPr="00215072" w:rsidRDefault="00215072" w:rsidP="00215072">
            <w:pPr>
              <w:spacing w:after="0" w:line="240" w:lineRule="auto"/>
              <w:jc w:val="center"/>
              <w:rPr>
                <w:rFonts w:ascii="Arial" w:eastAsia="Times New Roman" w:hAnsi="Arial" w:cs="Arial"/>
                <w:kern w:val="0"/>
                <w:sz w:val="24"/>
                <w:szCs w:val="24"/>
                <w:lang w:eastAsia="fi-FI"/>
                <w14:ligatures w14:val="none"/>
              </w:rPr>
            </w:pPr>
            <w:r w:rsidRPr="00215072">
              <w:rPr>
                <w:rFonts w:ascii="Arial" w:eastAsia="Times New Roman" w:hAnsi="Arial" w:cs="Arial"/>
                <w:kern w:val="0"/>
                <w:sz w:val="24"/>
                <w:szCs w:val="24"/>
                <w:lang w:eastAsia="fi-FI"/>
                <w14:ligatures w14:val="none"/>
              </w:rPr>
              <w:t>100</w:t>
            </w:r>
          </w:p>
        </w:tc>
      </w:tr>
    </w:tbl>
    <w:p w14:paraId="3BB3B2E6" w14:textId="77777777" w:rsidR="004D00FE" w:rsidRDefault="004D00FE"/>
    <w:p w14:paraId="569468BD" w14:textId="6A15029A" w:rsidR="004D00FE" w:rsidRPr="004D00FE" w:rsidRDefault="004D00FE">
      <w:pPr>
        <w:rPr>
          <w:sz w:val="24"/>
          <w:szCs w:val="24"/>
        </w:rPr>
      </w:pPr>
      <w:r w:rsidRPr="004D00FE">
        <w:rPr>
          <w:sz w:val="24"/>
          <w:szCs w:val="24"/>
        </w:rPr>
        <w:t>Paikalla tehdyn suojan työtunnit</w:t>
      </w:r>
    </w:p>
    <w:p w14:paraId="391E61D8" w14:textId="0C6F5F21" w:rsidR="004D00FE" w:rsidRDefault="00A51C15">
      <w:r>
        <w:rPr>
          <w:noProof/>
        </w:rPr>
        <w:lastRenderedPageBreak/>
        <w:drawing>
          <wp:inline distT="0" distB="0" distL="0" distR="0" wp14:anchorId="7894727F" wp14:editId="693CC1B7">
            <wp:extent cx="5902325" cy="4365748"/>
            <wp:effectExtent l="0" t="0" r="3175" b="0"/>
            <wp:docPr id="159279850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4431" cy="4374702"/>
                    </a:xfrm>
                    <a:prstGeom prst="rect">
                      <a:avLst/>
                    </a:prstGeom>
                    <a:noFill/>
                  </pic:spPr>
                </pic:pic>
              </a:graphicData>
            </a:graphic>
          </wp:inline>
        </w:drawing>
      </w:r>
    </w:p>
    <w:p w14:paraId="059FC4B7" w14:textId="77777777" w:rsidR="00A51C15" w:rsidRPr="004D00FE" w:rsidRDefault="00A51C15" w:rsidP="00A51C15">
      <w:pPr>
        <w:rPr>
          <w:sz w:val="24"/>
          <w:szCs w:val="24"/>
        </w:rPr>
      </w:pPr>
      <w:r w:rsidRPr="004D00FE">
        <w:rPr>
          <w:sz w:val="24"/>
          <w:szCs w:val="24"/>
        </w:rPr>
        <w:t>Paikalla tehdyn suojan työtunnit</w:t>
      </w:r>
    </w:p>
    <w:p w14:paraId="2390D8E6" w14:textId="77777777" w:rsidR="00A51C15" w:rsidRDefault="00A51C15"/>
    <w:p w14:paraId="74143145" w14:textId="1682F5DA" w:rsidR="00BB21DF" w:rsidRDefault="00215072">
      <w:r>
        <w:rPr>
          <w:noProof/>
        </w:rPr>
        <w:drawing>
          <wp:inline distT="0" distB="0" distL="0" distR="0" wp14:anchorId="1AD8203C" wp14:editId="210E9A8E">
            <wp:extent cx="5902325" cy="4077335"/>
            <wp:effectExtent l="0" t="0" r="3175" b="18415"/>
            <wp:docPr id="1319417549" name="Kaavio 1">
              <a:extLst xmlns:a="http://schemas.openxmlformats.org/drawingml/2006/main">
                <a:ext uri="{FF2B5EF4-FFF2-40B4-BE49-F238E27FC236}">
                  <a16:creationId xmlns:a16="http://schemas.microsoft.com/office/drawing/2014/main" id="{C06C010D-D1A7-CF2A-9744-5977627BE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ADB9D1" w14:textId="77777777" w:rsidR="004D00FE" w:rsidRDefault="004D00FE"/>
    <w:p w14:paraId="1A1E0FBB" w14:textId="720969D1" w:rsidR="004D00FE" w:rsidRPr="004D00FE" w:rsidRDefault="004D00FE">
      <w:pPr>
        <w:rPr>
          <w:sz w:val="24"/>
          <w:szCs w:val="24"/>
        </w:rPr>
      </w:pPr>
      <w:r w:rsidRPr="004D00FE">
        <w:rPr>
          <w:sz w:val="24"/>
          <w:szCs w:val="24"/>
        </w:rPr>
        <w:t>Paikalla tehdyn suojan työtuntien jakauma</w:t>
      </w:r>
    </w:p>
    <w:p w14:paraId="388FE7C2" w14:textId="43EEA161" w:rsidR="00215072" w:rsidRDefault="00215072"/>
    <w:p w14:paraId="5139F41B" w14:textId="77777777" w:rsidR="00215072" w:rsidRDefault="00215072"/>
    <w:p w14:paraId="36EF47B6" w14:textId="350F260E" w:rsidR="00215072" w:rsidRDefault="00215072">
      <w:r>
        <w:rPr>
          <w:noProof/>
        </w:rPr>
        <w:drawing>
          <wp:inline distT="0" distB="0" distL="0" distR="0" wp14:anchorId="2133A594" wp14:editId="6F800D63">
            <wp:extent cx="5810250" cy="4273550"/>
            <wp:effectExtent l="0" t="0" r="0" b="12700"/>
            <wp:docPr id="915029953" name="Kaavio 1">
              <a:extLst xmlns:a="http://schemas.openxmlformats.org/drawingml/2006/main">
                <a:ext uri="{FF2B5EF4-FFF2-40B4-BE49-F238E27FC236}">
                  <a16:creationId xmlns:a16="http://schemas.microsoft.com/office/drawing/2014/main" id="{A757AC80-8FEC-21E9-18C5-4D73F01778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771F69" w14:textId="77777777" w:rsidR="00215072" w:rsidRDefault="00215072"/>
    <w:p w14:paraId="28F42111" w14:textId="77777777" w:rsidR="00215072" w:rsidRDefault="00215072"/>
    <w:p w14:paraId="03F94306" w14:textId="7646587D" w:rsidR="00BB21DF" w:rsidRDefault="00215072">
      <w:r>
        <w:rPr>
          <w:noProof/>
        </w:rPr>
        <w:drawing>
          <wp:inline distT="0" distB="0" distL="0" distR="0" wp14:anchorId="03BDB99C" wp14:editId="0EDF4311">
            <wp:extent cx="5674360" cy="3876040"/>
            <wp:effectExtent l="0" t="0" r="2540" b="10160"/>
            <wp:docPr id="892174343" name="Kaavio 1">
              <a:extLst xmlns:a="http://schemas.openxmlformats.org/drawingml/2006/main">
                <a:ext uri="{FF2B5EF4-FFF2-40B4-BE49-F238E27FC236}">
                  <a16:creationId xmlns:a16="http://schemas.microsoft.com/office/drawing/2014/main" id="{A0C7FA0A-8F3A-27D4-BE25-F99677FD82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05FF809" w14:textId="77777777" w:rsidR="00215072" w:rsidRDefault="00215072"/>
    <w:p w14:paraId="132109AE" w14:textId="6927B7AA" w:rsidR="00C25FC4" w:rsidRDefault="00215072">
      <w:r>
        <w:rPr>
          <w:noProof/>
        </w:rPr>
        <w:lastRenderedPageBreak/>
        <w:drawing>
          <wp:inline distT="0" distB="0" distL="0" distR="0" wp14:anchorId="33BDD498" wp14:editId="335D1EE7">
            <wp:extent cx="6023610" cy="4156710"/>
            <wp:effectExtent l="0" t="0" r="15240" b="15240"/>
            <wp:docPr id="1381260329" name="Kaavio 1">
              <a:extLst xmlns:a="http://schemas.openxmlformats.org/drawingml/2006/main">
                <a:ext uri="{FF2B5EF4-FFF2-40B4-BE49-F238E27FC236}">
                  <a16:creationId xmlns:a16="http://schemas.microsoft.com/office/drawing/2014/main" id="{6DC3A08E-AC2B-11B1-A3D2-483BBB5FB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DC70EB5" w14:textId="77777777" w:rsidR="00A51C15" w:rsidRDefault="00A51C15"/>
    <w:p w14:paraId="4F7B94AF" w14:textId="77777777" w:rsidR="00A51C15" w:rsidRDefault="00A51C15"/>
    <w:p w14:paraId="15F39A7A" w14:textId="0B658CBF" w:rsidR="00215072" w:rsidRDefault="00F913DD">
      <w:r w:rsidRPr="00F913DD">
        <w:rPr>
          <w:noProof/>
        </w:rPr>
        <w:drawing>
          <wp:inline distT="0" distB="0" distL="0" distR="0" wp14:anchorId="38414368" wp14:editId="70A455FE">
            <wp:extent cx="6163310" cy="3903744"/>
            <wp:effectExtent l="0" t="0" r="8890" b="1905"/>
            <wp:docPr id="793397310"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2961" cy="3909857"/>
                    </a:xfrm>
                    <a:prstGeom prst="rect">
                      <a:avLst/>
                    </a:prstGeom>
                    <a:noFill/>
                    <a:ln>
                      <a:noFill/>
                    </a:ln>
                  </pic:spPr>
                </pic:pic>
              </a:graphicData>
            </a:graphic>
          </wp:inline>
        </w:drawing>
      </w:r>
    </w:p>
    <w:p w14:paraId="09EF4612" w14:textId="77777777" w:rsidR="00F913DD" w:rsidRDefault="00F913DD"/>
    <w:p w14:paraId="6660EE9B" w14:textId="39F5836C" w:rsidR="00F913DD" w:rsidRDefault="00F913DD">
      <w:r w:rsidRPr="00F913DD">
        <w:rPr>
          <w:noProof/>
        </w:rPr>
        <w:lastRenderedPageBreak/>
        <w:drawing>
          <wp:inline distT="0" distB="0" distL="0" distR="0" wp14:anchorId="262510C8" wp14:editId="02C593D6">
            <wp:extent cx="6411686" cy="3543300"/>
            <wp:effectExtent l="0" t="0" r="8255" b="0"/>
            <wp:docPr id="1129677393"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9122" cy="3547409"/>
                    </a:xfrm>
                    <a:prstGeom prst="rect">
                      <a:avLst/>
                    </a:prstGeom>
                    <a:noFill/>
                    <a:ln>
                      <a:noFill/>
                    </a:ln>
                  </pic:spPr>
                </pic:pic>
              </a:graphicData>
            </a:graphic>
          </wp:inline>
        </w:drawing>
      </w:r>
    </w:p>
    <w:p w14:paraId="59211C4A" w14:textId="77777777" w:rsidR="00A51C15" w:rsidRDefault="00A51C15"/>
    <w:p w14:paraId="3B3B1177" w14:textId="5AF7544A" w:rsidR="00A51C15" w:rsidRPr="00A51C15" w:rsidRDefault="00A51C15">
      <w:pPr>
        <w:rPr>
          <w:sz w:val="24"/>
          <w:szCs w:val="24"/>
        </w:rPr>
      </w:pPr>
      <w:proofErr w:type="spellStart"/>
      <w:r w:rsidRPr="00A51C15">
        <w:rPr>
          <w:sz w:val="24"/>
          <w:szCs w:val="24"/>
        </w:rPr>
        <w:t>Koontataulukko</w:t>
      </w:r>
      <w:proofErr w:type="spellEnd"/>
      <w:r w:rsidRPr="00A51C15">
        <w:rPr>
          <w:sz w:val="24"/>
          <w:szCs w:val="24"/>
        </w:rPr>
        <w:t xml:space="preserve"> suojan kustannuksista</w:t>
      </w:r>
    </w:p>
    <w:p w14:paraId="43A0CAC2" w14:textId="77777777" w:rsidR="00F913DD" w:rsidRDefault="00F913DD"/>
    <w:p w14:paraId="708C834C" w14:textId="5303E2A7" w:rsidR="00F913DD" w:rsidRDefault="00F913DD"/>
    <w:p w14:paraId="4F299098" w14:textId="77777777" w:rsidR="00F913DD" w:rsidRDefault="00F913DD"/>
    <w:p w14:paraId="599ACC15" w14:textId="77777777" w:rsidR="00C25FC4" w:rsidRDefault="00C25FC4"/>
    <w:sectPr w:rsidR="00C25FC4" w:rsidSect="009D7775">
      <w:headerReference w:type="default" r:id="rId23"/>
      <w:pgSz w:w="11906" w:h="16838"/>
      <w:pgMar w:top="709" w:right="1841" w:bottom="426"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53033" w14:textId="77777777" w:rsidR="009D7775" w:rsidRDefault="009D7775" w:rsidP="00F913DD">
      <w:pPr>
        <w:spacing w:after="0" w:line="240" w:lineRule="auto"/>
      </w:pPr>
      <w:r>
        <w:separator/>
      </w:r>
    </w:p>
  </w:endnote>
  <w:endnote w:type="continuationSeparator" w:id="0">
    <w:p w14:paraId="6BD96A2D" w14:textId="77777777" w:rsidR="009D7775" w:rsidRDefault="009D7775" w:rsidP="00F91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92644" w14:textId="77777777" w:rsidR="009D7775" w:rsidRDefault="009D7775" w:rsidP="00F913DD">
      <w:pPr>
        <w:spacing w:after="0" w:line="240" w:lineRule="auto"/>
      </w:pPr>
      <w:r>
        <w:separator/>
      </w:r>
    </w:p>
  </w:footnote>
  <w:footnote w:type="continuationSeparator" w:id="0">
    <w:p w14:paraId="026D2E9D" w14:textId="77777777" w:rsidR="009D7775" w:rsidRDefault="009D7775" w:rsidP="00F91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163700"/>
      <w:docPartObj>
        <w:docPartGallery w:val="Page Numbers (Top of Page)"/>
        <w:docPartUnique/>
      </w:docPartObj>
    </w:sdtPr>
    <w:sdtContent>
      <w:p w14:paraId="20402B65" w14:textId="5E5995AD" w:rsidR="00F913DD" w:rsidRDefault="00F913DD">
        <w:pPr>
          <w:pStyle w:val="Yltunniste"/>
          <w:jc w:val="right"/>
        </w:pPr>
        <w:r>
          <w:fldChar w:fldCharType="begin"/>
        </w:r>
        <w:r>
          <w:instrText>PAGE   \* MERGEFORMAT</w:instrText>
        </w:r>
        <w:r>
          <w:fldChar w:fldCharType="separate"/>
        </w:r>
        <w:r>
          <w:t>2</w:t>
        </w:r>
        <w:r>
          <w:fldChar w:fldCharType="end"/>
        </w:r>
      </w:p>
    </w:sdtContent>
  </w:sdt>
  <w:p w14:paraId="7EA5563C" w14:textId="77777777" w:rsidR="00F913DD" w:rsidRDefault="00F913DD">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FC4"/>
    <w:rsid w:val="00141AA5"/>
    <w:rsid w:val="00215072"/>
    <w:rsid w:val="00247296"/>
    <w:rsid w:val="00270C32"/>
    <w:rsid w:val="002732FB"/>
    <w:rsid w:val="00350313"/>
    <w:rsid w:val="004D00FE"/>
    <w:rsid w:val="004E0BDD"/>
    <w:rsid w:val="005D600F"/>
    <w:rsid w:val="00680113"/>
    <w:rsid w:val="00682710"/>
    <w:rsid w:val="008D7230"/>
    <w:rsid w:val="008E4148"/>
    <w:rsid w:val="00943556"/>
    <w:rsid w:val="009D7775"/>
    <w:rsid w:val="00A51C15"/>
    <w:rsid w:val="00AC66D0"/>
    <w:rsid w:val="00BB21DF"/>
    <w:rsid w:val="00C25FC4"/>
    <w:rsid w:val="00E9791E"/>
    <w:rsid w:val="00F913DD"/>
    <w:rsid w:val="00FE76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11F7"/>
  <w15:chartTrackingRefBased/>
  <w15:docId w15:val="{5248F154-D7FA-41F5-82F4-B12EB821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913DD"/>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913DD"/>
  </w:style>
  <w:style w:type="paragraph" w:styleId="Alatunniste">
    <w:name w:val="footer"/>
    <w:basedOn w:val="Normaali"/>
    <w:link w:val="AlatunnisteChar"/>
    <w:uiPriority w:val="99"/>
    <w:unhideWhenUsed/>
    <w:rsid w:val="00F913DD"/>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91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829968">
      <w:bodyDiv w:val="1"/>
      <w:marLeft w:val="0"/>
      <w:marRight w:val="0"/>
      <w:marTop w:val="0"/>
      <w:marBottom w:val="0"/>
      <w:divBdr>
        <w:top w:val="none" w:sz="0" w:space="0" w:color="auto"/>
        <w:left w:val="none" w:sz="0" w:space="0" w:color="auto"/>
        <w:bottom w:val="none" w:sz="0" w:space="0" w:color="auto"/>
        <w:right w:val="none" w:sz="0" w:space="0" w:color="auto"/>
      </w:divBdr>
    </w:div>
    <w:div w:id="144442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webSettings" Target="webSettings.xml"/><Relationship Id="rId21" Type="http://schemas.openxmlformats.org/officeDocument/2006/relationships/image" Target="media/image4.emf"/><Relationship Id="rId7" Type="http://schemas.openxmlformats.org/officeDocument/2006/relationships/chart" Target="charts/chart1.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chart" Target="charts/chart12.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4.xml"/><Relationship Id="rId19" Type="http://schemas.openxmlformats.org/officeDocument/2006/relationships/chart" Target="charts/chart11.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chart" Target="charts/chart7.xml"/><Relationship Id="rId22" Type="http://schemas.openxmlformats.org/officeDocument/2006/relationships/image" Target="media/image5.emf"/></Relationships>
</file>

<file path=word/charts/_rels/chart1.xml.rels><?xml version="1.0" encoding="UTF-8" standalone="yes"?>
<Relationships xmlns="http://schemas.openxmlformats.org/package/2006/relationships"><Relationship Id="rId2" Type="http://schemas.openxmlformats.org/officeDocument/2006/relationships/oleObject" Target="file:///C:\Users\Pekka\Documents\0000000000%20VSS%20M&#214;KILLE\2.%20VSS%20Elementit%202.4.08+10.4+23.5+5.10+30.11.23%20B.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2" Type="http://schemas.openxmlformats.org/officeDocument/2006/relationships/oleObject" Target="file:///C:\Users\Pekka\Documents\0000000000%20VSS%20M&#214;KILLE\2.%20VSS%20Elementit%202.4.08+10.4+23.5+5.10+30.11.23%20B.xls"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Pekka\Documents\0000000000%20VSS%20M&#214;KILLE\2.%20VSS%20Elementit%202.4.08+10.4+23.5+5.10+30.11.23%20B.xls" TargetMode="External"/><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fi-FI" sz="1800" b="1" i="0" u="none" strike="noStrike" baseline="0">
                <a:solidFill>
                  <a:srgbClr val="000000"/>
                </a:solidFill>
                <a:latin typeface="Calibri"/>
                <a:cs typeface="Calibri"/>
              </a:rPr>
              <a:t>10/2. Väestönsuojan betonimäärät varsinaisen suoja-alan m</a:t>
            </a:r>
            <a:r>
              <a:rPr lang="fi-FI" sz="1800" b="1" i="0" u="none" strike="noStrike" baseline="30000">
                <a:solidFill>
                  <a:srgbClr val="000000"/>
                </a:solidFill>
                <a:latin typeface="Calibri"/>
                <a:cs typeface="Calibri"/>
              </a:rPr>
              <a:t>2</a:t>
            </a:r>
            <a:r>
              <a:rPr lang="fi-FI" sz="1800" b="1" i="0" u="none" strike="noStrike" baseline="0">
                <a:solidFill>
                  <a:srgbClr val="000000"/>
                </a:solidFill>
                <a:latin typeface="Calibri"/>
                <a:cs typeface="Calibri"/>
              </a:rPr>
              <a:t> kohti</a:t>
            </a:r>
          </a:p>
        </c:rich>
      </c:tx>
      <c:layout>
        <c:manualLayout>
          <c:xMode val="edge"/>
          <c:yMode val="edge"/>
          <c:x val="0.15659775202970097"/>
          <c:y val="1.7748904215757148E-2"/>
        </c:manualLayout>
      </c:layout>
      <c:overlay val="0"/>
    </c:title>
    <c:autoTitleDeleted val="0"/>
    <c:view3D>
      <c:rotX val="20"/>
      <c:rotY val="50"/>
      <c:depthPercent val="150"/>
      <c:rAngAx val="0"/>
    </c:view3D>
    <c:floor>
      <c:thickness val="0"/>
    </c:floor>
    <c:sideWall>
      <c:thickness val="0"/>
    </c:sideWall>
    <c:backWall>
      <c:thickness val="0"/>
    </c:backWall>
    <c:plotArea>
      <c:layout>
        <c:manualLayout>
          <c:layoutTarget val="inner"/>
          <c:xMode val="edge"/>
          <c:yMode val="edge"/>
          <c:x val="5.1085379156893845E-2"/>
          <c:y val="6.59406847072498E-2"/>
          <c:w val="0.73457106990984122"/>
          <c:h val="0.84181725693988518"/>
        </c:manualLayout>
      </c:layout>
      <c:area3DChart>
        <c:grouping val="stacked"/>
        <c:varyColors val="0"/>
        <c:ser>
          <c:idx val="0"/>
          <c:order val="0"/>
          <c:tx>
            <c:strRef>
              <c:f>BETONIMÄÄRÄT!$B$17</c:f>
              <c:strCache>
                <c:ptCount val="1"/>
                <c:pt idx="0">
                  <c:v>Lattia</c:v>
                </c:pt>
              </c:strCache>
            </c:strRef>
          </c:tx>
          <c:cat>
            <c:strRef>
              <c:f>BETONIMÄÄRÄT!$D$13:$G$13</c:f>
              <c:strCache>
                <c:ptCount val="4"/>
                <c:pt idx="0">
                  <c:v>20 m2  </c:v>
                </c:pt>
                <c:pt idx="1">
                  <c:v>45 m2  </c:v>
                </c:pt>
                <c:pt idx="2">
                  <c:v>90 m2  </c:v>
                </c:pt>
                <c:pt idx="3">
                  <c:v>135 m2  </c:v>
                </c:pt>
              </c:strCache>
            </c:strRef>
          </c:cat>
          <c:val>
            <c:numRef>
              <c:f>BETONIMÄÄRÄT!$D$17:$G$17</c:f>
              <c:numCache>
                <c:formatCode>0.00</c:formatCode>
                <c:ptCount val="4"/>
                <c:pt idx="0">
                  <c:v>0.18</c:v>
                </c:pt>
                <c:pt idx="1">
                  <c:v>0.16444444444444445</c:v>
                </c:pt>
                <c:pt idx="2">
                  <c:v>0.15888888888888889</c:v>
                </c:pt>
                <c:pt idx="3">
                  <c:v>0.15925925925925927</c:v>
                </c:pt>
              </c:numCache>
            </c:numRef>
          </c:val>
          <c:extLst>
            <c:ext xmlns:c16="http://schemas.microsoft.com/office/drawing/2014/chart" uri="{C3380CC4-5D6E-409C-BE32-E72D297353CC}">
              <c16:uniqueId val="{00000000-7861-4387-9776-F7C4D7191D28}"/>
            </c:ext>
          </c:extLst>
        </c:ser>
        <c:ser>
          <c:idx val="1"/>
          <c:order val="1"/>
          <c:tx>
            <c:strRef>
              <c:f>BETONIMÄÄRÄT!$B$18</c:f>
              <c:strCache>
                <c:ptCount val="1"/>
                <c:pt idx="0">
                  <c:v>Pintabetoni</c:v>
                </c:pt>
              </c:strCache>
            </c:strRef>
          </c:tx>
          <c:cat>
            <c:strRef>
              <c:f>BETONIMÄÄRÄT!$D$13:$G$13</c:f>
              <c:strCache>
                <c:ptCount val="4"/>
                <c:pt idx="0">
                  <c:v>20 m2  </c:v>
                </c:pt>
                <c:pt idx="1">
                  <c:v>45 m2  </c:v>
                </c:pt>
                <c:pt idx="2">
                  <c:v>90 m2  </c:v>
                </c:pt>
                <c:pt idx="3">
                  <c:v>135 m2  </c:v>
                </c:pt>
              </c:strCache>
            </c:strRef>
          </c:cat>
          <c:val>
            <c:numRef>
              <c:f>BETONIMÄÄRÄT!$D$18:$G$18</c:f>
              <c:numCache>
                <c:formatCode>0.00</c:formatCode>
                <c:ptCount val="4"/>
                <c:pt idx="0">
                  <c:v>6.5000000000000002E-2</c:v>
                </c:pt>
                <c:pt idx="1">
                  <c:v>6.0000000000000005E-2</c:v>
                </c:pt>
                <c:pt idx="2">
                  <c:v>5.8888888888888886E-2</c:v>
                </c:pt>
                <c:pt idx="3">
                  <c:v>5.8518518518518518E-2</c:v>
                </c:pt>
              </c:numCache>
            </c:numRef>
          </c:val>
          <c:extLst>
            <c:ext xmlns:c16="http://schemas.microsoft.com/office/drawing/2014/chart" uri="{C3380CC4-5D6E-409C-BE32-E72D297353CC}">
              <c16:uniqueId val="{00000001-7861-4387-9776-F7C4D7191D28}"/>
            </c:ext>
          </c:extLst>
        </c:ser>
        <c:ser>
          <c:idx val="2"/>
          <c:order val="2"/>
          <c:tx>
            <c:strRef>
              <c:f>BETONIMÄÄRÄT!$B$19</c:f>
              <c:strCache>
                <c:ptCount val="1"/>
                <c:pt idx="0">
                  <c:v>Antura</c:v>
                </c:pt>
              </c:strCache>
            </c:strRef>
          </c:tx>
          <c:cat>
            <c:strRef>
              <c:f>BETONIMÄÄRÄT!$D$13:$G$13</c:f>
              <c:strCache>
                <c:ptCount val="4"/>
                <c:pt idx="0">
                  <c:v>20 m2  </c:v>
                </c:pt>
                <c:pt idx="1">
                  <c:v>45 m2  </c:v>
                </c:pt>
                <c:pt idx="2">
                  <c:v>90 m2  </c:v>
                </c:pt>
                <c:pt idx="3">
                  <c:v>135 m2  </c:v>
                </c:pt>
              </c:strCache>
            </c:strRef>
          </c:cat>
          <c:val>
            <c:numRef>
              <c:f>BETONIMÄÄRÄT!$D$19:$G$19</c:f>
              <c:numCache>
                <c:formatCode>0.00</c:formatCode>
                <c:ptCount val="4"/>
                <c:pt idx="0">
                  <c:v>0.68499999999999994</c:v>
                </c:pt>
                <c:pt idx="1">
                  <c:v>0.41555555555555557</c:v>
                </c:pt>
                <c:pt idx="2">
                  <c:v>0.28222222222222221</c:v>
                </c:pt>
                <c:pt idx="3">
                  <c:v>0.23037037037037039</c:v>
                </c:pt>
              </c:numCache>
            </c:numRef>
          </c:val>
          <c:extLst>
            <c:ext xmlns:c16="http://schemas.microsoft.com/office/drawing/2014/chart" uri="{C3380CC4-5D6E-409C-BE32-E72D297353CC}">
              <c16:uniqueId val="{00000002-7861-4387-9776-F7C4D7191D28}"/>
            </c:ext>
          </c:extLst>
        </c:ser>
        <c:ser>
          <c:idx val="3"/>
          <c:order val="3"/>
          <c:tx>
            <c:strRef>
              <c:f>BETONIMÄÄRÄT!$B$20</c:f>
              <c:strCache>
                <c:ptCount val="1"/>
                <c:pt idx="0">
                  <c:v>Väliseinän 150 mm</c:v>
                </c:pt>
              </c:strCache>
            </c:strRef>
          </c:tx>
          <c:spPr>
            <a:solidFill>
              <a:srgbClr val="FF0000"/>
            </a:solidFill>
          </c:spPr>
          <c:cat>
            <c:strRef>
              <c:f>BETONIMÄÄRÄT!$D$13:$G$13</c:f>
              <c:strCache>
                <c:ptCount val="4"/>
                <c:pt idx="0">
                  <c:v>20 m2  </c:v>
                </c:pt>
                <c:pt idx="1">
                  <c:v>45 m2  </c:v>
                </c:pt>
                <c:pt idx="2">
                  <c:v>90 m2  </c:v>
                </c:pt>
                <c:pt idx="3">
                  <c:v>135 m2  </c:v>
                </c:pt>
              </c:strCache>
            </c:strRef>
          </c:cat>
          <c:val>
            <c:numRef>
              <c:f>BETONIMÄÄRÄT!$D$20:$G$20</c:f>
              <c:numCache>
                <c:formatCode>General</c:formatCode>
                <c:ptCount val="4"/>
                <c:pt idx="0">
                  <c:v>0</c:v>
                </c:pt>
                <c:pt idx="1">
                  <c:v>0</c:v>
                </c:pt>
                <c:pt idx="2">
                  <c:v>0</c:v>
                </c:pt>
                <c:pt idx="3" formatCode="0.00">
                  <c:v>2.0444444444444442E-2</c:v>
                </c:pt>
              </c:numCache>
            </c:numRef>
          </c:val>
          <c:extLst>
            <c:ext xmlns:c16="http://schemas.microsoft.com/office/drawing/2014/chart" uri="{C3380CC4-5D6E-409C-BE32-E72D297353CC}">
              <c16:uniqueId val="{00000003-7861-4387-9776-F7C4D7191D28}"/>
            </c:ext>
          </c:extLst>
        </c:ser>
        <c:ser>
          <c:idx val="4"/>
          <c:order val="4"/>
          <c:tx>
            <c:strRef>
              <c:f>BETONIMÄÄRÄT!$B$21</c:f>
              <c:strCache>
                <c:ptCount val="1"/>
                <c:pt idx="0">
                  <c:v>Katto</c:v>
                </c:pt>
              </c:strCache>
            </c:strRef>
          </c:tx>
          <c:spPr>
            <a:ln w="25400">
              <a:noFill/>
            </a:ln>
          </c:spPr>
          <c:cat>
            <c:strRef>
              <c:f>BETONIMÄÄRÄT!$D$13:$G$13</c:f>
              <c:strCache>
                <c:ptCount val="4"/>
                <c:pt idx="0">
                  <c:v>20 m2  </c:v>
                </c:pt>
                <c:pt idx="1">
                  <c:v>45 m2  </c:v>
                </c:pt>
                <c:pt idx="2">
                  <c:v>90 m2  </c:v>
                </c:pt>
                <c:pt idx="3">
                  <c:v>135 m2  </c:v>
                </c:pt>
              </c:strCache>
            </c:strRef>
          </c:cat>
          <c:val>
            <c:numRef>
              <c:f>BETONIMÄÄRÄT!$D$21:$G$21</c:f>
              <c:numCache>
                <c:formatCode>0.00</c:formatCode>
                <c:ptCount val="4"/>
                <c:pt idx="0">
                  <c:v>0.45499999999999996</c:v>
                </c:pt>
                <c:pt idx="1">
                  <c:v>0.38444444444444448</c:v>
                </c:pt>
                <c:pt idx="2">
                  <c:v>0.35888888888888887</c:v>
                </c:pt>
                <c:pt idx="3">
                  <c:v>0.3511111111111111</c:v>
                </c:pt>
              </c:numCache>
            </c:numRef>
          </c:val>
          <c:extLst>
            <c:ext xmlns:c16="http://schemas.microsoft.com/office/drawing/2014/chart" uri="{C3380CC4-5D6E-409C-BE32-E72D297353CC}">
              <c16:uniqueId val="{00000004-7861-4387-9776-F7C4D7191D28}"/>
            </c:ext>
          </c:extLst>
        </c:ser>
        <c:ser>
          <c:idx val="5"/>
          <c:order val="5"/>
          <c:tx>
            <c:strRef>
              <c:f>BETONIMÄÄRÄT!$B$22</c:f>
              <c:strCache>
                <c:ptCount val="1"/>
                <c:pt idx="0">
                  <c:v>Oven suojuslippa</c:v>
                </c:pt>
              </c:strCache>
            </c:strRef>
          </c:tx>
          <c:spPr>
            <a:solidFill>
              <a:srgbClr val="FF0000"/>
            </a:solidFill>
            <a:ln w="25400">
              <a:noFill/>
            </a:ln>
          </c:spPr>
          <c:cat>
            <c:strRef>
              <c:f>BETONIMÄÄRÄT!$D$13:$G$13</c:f>
              <c:strCache>
                <c:ptCount val="4"/>
                <c:pt idx="0">
                  <c:v>20 m2  </c:v>
                </c:pt>
                <c:pt idx="1">
                  <c:v>45 m2  </c:v>
                </c:pt>
                <c:pt idx="2">
                  <c:v>90 m2  </c:v>
                </c:pt>
                <c:pt idx="3">
                  <c:v>135 m2  </c:v>
                </c:pt>
              </c:strCache>
            </c:strRef>
          </c:cat>
          <c:val>
            <c:numRef>
              <c:f>BETONIMÄÄRÄT!$D$22:$G$22</c:f>
              <c:numCache>
                <c:formatCode>0.00</c:formatCode>
                <c:ptCount val="4"/>
                <c:pt idx="0">
                  <c:v>4.3499999999999997E-2</c:v>
                </c:pt>
                <c:pt idx="1">
                  <c:v>1.9333333333333334E-2</c:v>
                </c:pt>
                <c:pt idx="2">
                  <c:v>9.6666666666666672E-3</c:v>
                </c:pt>
                <c:pt idx="3">
                  <c:v>6.4444444444444445E-3</c:v>
                </c:pt>
              </c:numCache>
            </c:numRef>
          </c:val>
          <c:extLst>
            <c:ext xmlns:c16="http://schemas.microsoft.com/office/drawing/2014/chart" uri="{C3380CC4-5D6E-409C-BE32-E72D297353CC}">
              <c16:uniqueId val="{00000005-7861-4387-9776-F7C4D7191D28}"/>
            </c:ext>
          </c:extLst>
        </c:ser>
        <c:ser>
          <c:idx val="6"/>
          <c:order val="6"/>
          <c:tx>
            <c:strRef>
              <c:f>BETONIMÄÄRÄT!$B$23</c:f>
              <c:strCache>
                <c:ptCount val="1"/>
                <c:pt idx="0">
                  <c:v>Ympärysseinät</c:v>
                </c:pt>
              </c:strCache>
            </c:strRef>
          </c:tx>
          <c:spPr>
            <a:ln w="25400">
              <a:noFill/>
            </a:ln>
          </c:spPr>
          <c:cat>
            <c:strRef>
              <c:f>BETONIMÄÄRÄT!$D$13:$G$13</c:f>
              <c:strCache>
                <c:ptCount val="4"/>
                <c:pt idx="0">
                  <c:v>20 m2  </c:v>
                </c:pt>
                <c:pt idx="1">
                  <c:v>45 m2  </c:v>
                </c:pt>
                <c:pt idx="2">
                  <c:v>90 m2  </c:v>
                </c:pt>
                <c:pt idx="3">
                  <c:v>135 m2  </c:v>
                </c:pt>
              </c:strCache>
            </c:strRef>
          </c:cat>
          <c:val>
            <c:numRef>
              <c:f>BETONIMÄÄRÄT!$D$23:$G$23</c:f>
              <c:numCache>
                <c:formatCode>0.00</c:formatCode>
                <c:ptCount val="4"/>
                <c:pt idx="0">
                  <c:v>0.72</c:v>
                </c:pt>
                <c:pt idx="1">
                  <c:v>0.44666666666666671</c:v>
                </c:pt>
                <c:pt idx="2">
                  <c:v>0.30888888888888888</c:v>
                </c:pt>
                <c:pt idx="3">
                  <c:v>0.25481481481481483</c:v>
                </c:pt>
              </c:numCache>
            </c:numRef>
          </c:val>
          <c:extLst>
            <c:ext xmlns:c16="http://schemas.microsoft.com/office/drawing/2014/chart" uri="{C3380CC4-5D6E-409C-BE32-E72D297353CC}">
              <c16:uniqueId val="{00000006-7861-4387-9776-F7C4D7191D28}"/>
            </c:ext>
          </c:extLst>
        </c:ser>
        <c:ser>
          <c:idx val="7"/>
          <c:order val="7"/>
          <c:tx>
            <c:strRef>
              <c:f>BETONIMÄÄRÄT!$B$24</c:f>
              <c:strCache>
                <c:ptCount val="1"/>
                <c:pt idx="0">
                  <c:v>Hätäpoistumiskäytävä</c:v>
                </c:pt>
              </c:strCache>
            </c:strRef>
          </c:tx>
          <c:spPr>
            <a:solidFill>
              <a:srgbClr val="FFC000"/>
            </a:solidFill>
            <a:ln w="25400">
              <a:noFill/>
            </a:ln>
          </c:spPr>
          <c:cat>
            <c:strRef>
              <c:f>BETONIMÄÄRÄT!$D$13:$G$13</c:f>
              <c:strCache>
                <c:ptCount val="4"/>
                <c:pt idx="0">
                  <c:v>20 m2  </c:v>
                </c:pt>
                <c:pt idx="1">
                  <c:v>45 m2  </c:v>
                </c:pt>
                <c:pt idx="2">
                  <c:v>90 m2  </c:v>
                </c:pt>
                <c:pt idx="3">
                  <c:v>135 m2  </c:v>
                </c:pt>
              </c:strCache>
            </c:strRef>
          </c:cat>
          <c:val>
            <c:numRef>
              <c:f>BETONIMÄÄRÄT!$D$24:$G$24</c:f>
              <c:numCache>
                <c:formatCode>0.00</c:formatCode>
                <c:ptCount val="4"/>
                <c:pt idx="0">
                  <c:v>8.5499999999999993E-2</c:v>
                </c:pt>
                <c:pt idx="1">
                  <c:v>5.0666666666666665E-2</c:v>
                </c:pt>
                <c:pt idx="2">
                  <c:v>3.4666666666666665E-2</c:v>
                </c:pt>
                <c:pt idx="3">
                  <c:v>3.3777777777777775E-2</c:v>
                </c:pt>
              </c:numCache>
            </c:numRef>
          </c:val>
          <c:extLst>
            <c:ext xmlns:c16="http://schemas.microsoft.com/office/drawing/2014/chart" uri="{C3380CC4-5D6E-409C-BE32-E72D297353CC}">
              <c16:uniqueId val="{00000007-7861-4387-9776-F7C4D7191D28}"/>
            </c:ext>
          </c:extLst>
        </c:ser>
        <c:ser>
          <c:idx val="8"/>
          <c:order val="8"/>
          <c:tx>
            <c:strRef>
              <c:f>BETONIMÄÄRÄT!$B$25</c:f>
              <c:strCache>
                <c:ptCount val="1"/>
                <c:pt idx="0">
                  <c:v>Vapaata ilmatilaa</c:v>
                </c:pt>
              </c:strCache>
            </c:strRef>
          </c:tx>
          <c:spPr>
            <a:solidFill>
              <a:srgbClr val="99FF99"/>
            </a:solidFill>
            <a:ln w="12700">
              <a:solidFill>
                <a:srgbClr val="FF0000"/>
              </a:solidFill>
            </a:ln>
            <a:effectLst>
              <a:outerShdw blurRad="50800" dist="50800" dir="5400000" algn="ctr" rotWithShape="0">
                <a:srgbClr val="000000">
                  <a:alpha val="97000"/>
                </a:srgbClr>
              </a:outerShdw>
            </a:effectLst>
          </c:spPr>
          <c:dLbls>
            <c:dLbl>
              <c:idx val="0"/>
              <c:layout>
                <c:manualLayout>
                  <c:x val="-3.5866928082858637E-5"/>
                  <c:y val="4.3745542607641921E-2"/>
                </c:manualLayout>
              </c:layout>
              <c:spPr>
                <a:solidFill>
                  <a:srgbClr val="FFFF00"/>
                </a:solidFill>
              </c:spPr>
              <c:txPr>
                <a:bodyPr/>
                <a:lstStyle/>
                <a:p>
                  <a:pPr>
                    <a:defRPr sz="1400" b="0" i="0" u="none" strike="noStrike" baseline="0">
                      <a:solidFill>
                        <a:srgbClr val="000000"/>
                      </a:solidFill>
                      <a:latin typeface="Calibri"/>
                      <a:ea typeface="Calibri"/>
                      <a:cs typeface="Calibri"/>
                    </a:defRPr>
                  </a:pPr>
                  <a:endParaRPr lang="fi-F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61-4387-9776-F7C4D7191D28}"/>
                </c:ext>
              </c:extLst>
            </c:dLbl>
            <c:dLbl>
              <c:idx val="1"/>
              <c:layout>
                <c:manualLayout>
                  <c:x val="-4.8188846953391158E-2"/>
                  <c:y val="2.4205746558590868E-2"/>
                </c:manualLayout>
              </c:layout>
              <c:spPr>
                <a:solidFill>
                  <a:srgbClr val="FFFF00"/>
                </a:solidFill>
              </c:spPr>
              <c:txPr>
                <a:bodyPr/>
                <a:lstStyle/>
                <a:p>
                  <a:pPr>
                    <a:defRPr sz="1400" b="0" i="0" u="none" strike="noStrike" baseline="0">
                      <a:solidFill>
                        <a:srgbClr val="000000"/>
                      </a:solidFill>
                      <a:latin typeface="Calibri"/>
                      <a:ea typeface="Calibri"/>
                      <a:cs typeface="Calibri"/>
                    </a:defRPr>
                  </a:pPr>
                  <a:endParaRPr lang="fi-F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61-4387-9776-F7C4D7191D28}"/>
                </c:ext>
              </c:extLst>
            </c:dLbl>
            <c:dLbl>
              <c:idx val="2"/>
              <c:layout>
                <c:manualLayout>
                  <c:x val="-3.3862432994274869E-2"/>
                  <c:y val="9.6822986234363473E-2"/>
                </c:manualLayout>
              </c:layout>
              <c:spPr>
                <a:solidFill>
                  <a:srgbClr val="FFFF00"/>
                </a:solidFill>
              </c:spPr>
              <c:txPr>
                <a:bodyPr/>
                <a:lstStyle/>
                <a:p>
                  <a:pPr>
                    <a:defRPr sz="1400" b="0" i="0" u="none" strike="noStrike" baseline="0">
                      <a:solidFill>
                        <a:srgbClr val="000000"/>
                      </a:solidFill>
                      <a:latin typeface="Calibri"/>
                      <a:ea typeface="Calibri"/>
                      <a:cs typeface="Calibri"/>
                    </a:defRPr>
                  </a:pPr>
                  <a:endParaRPr lang="fi-F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61-4387-9776-F7C4D7191D28}"/>
                </c:ext>
              </c:extLst>
            </c:dLbl>
            <c:dLbl>
              <c:idx val="3"/>
              <c:layout>
                <c:manualLayout>
                  <c:x val="-7.4308581791514589E-2"/>
                  <c:y val="7.3791082774530448E-2"/>
                </c:manualLayout>
              </c:layout>
              <c:spPr>
                <a:solidFill>
                  <a:srgbClr val="FFFF00"/>
                </a:solidFill>
              </c:spPr>
              <c:txPr>
                <a:bodyPr/>
                <a:lstStyle/>
                <a:p>
                  <a:pPr>
                    <a:defRPr sz="1400" b="0" i="0" u="none" strike="noStrike" baseline="0">
                      <a:solidFill>
                        <a:srgbClr val="000000"/>
                      </a:solidFill>
                      <a:latin typeface="Calibri"/>
                      <a:ea typeface="Calibri"/>
                      <a:cs typeface="Calibri"/>
                    </a:defRPr>
                  </a:pPr>
                  <a:endParaRPr lang="fi-F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61-4387-9776-F7C4D7191D28}"/>
                </c:ext>
              </c:extLst>
            </c:dLbl>
            <c:spPr>
              <a:solidFill>
                <a:srgbClr val="FFFF00"/>
              </a:solidFill>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BETONIMÄÄRÄT!$D$13:$G$13</c:f>
              <c:strCache>
                <c:ptCount val="4"/>
                <c:pt idx="0">
                  <c:v>20 m2  </c:v>
                </c:pt>
                <c:pt idx="1">
                  <c:v>45 m2  </c:v>
                </c:pt>
                <c:pt idx="2">
                  <c:v>90 m2  </c:v>
                </c:pt>
                <c:pt idx="3">
                  <c:v>135 m2  </c:v>
                </c:pt>
              </c:strCache>
            </c:strRef>
          </c:cat>
          <c:val>
            <c:numRef>
              <c:f>BETONIMÄÄRÄT!$D$25:$G$25</c:f>
              <c:numCache>
                <c:formatCode>0.00</c:formatCode>
                <c:ptCount val="4"/>
                <c:pt idx="0">
                  <c:v>6.5999999999999837E-2</c:v>
                </c:pt>
                <c:pt idx="1">
                  <c:v>0.7588888888888885</c:v>
                </c:pt>
                <c:pt idx="2">
                  <c:v>1.0878888888888889</c:v>
                </c:pt>
                <c:pt idx="3">
                  <c:v>1.185259259259259</c:v>
                </c:pt>
              </c:numCache>
            </c:numRef>
          </c:val>
          <c:extLst>
            <c:ext xmlns:c16="http://schemas.microsoft.com/office/drawing/2014/chart" uri="{C3380CC4-5D6E-409C-BE32-E72D297353CC}">
              <c16:uniqueId val="{0000000C-7861-4387-9776-F7C4D7191D28}"/>
            </c:ext>
          </c:extLst>
        </c:ser>
        <c:dLbls>
          <c:showLegendKey val="0"/>
          <c:showVal val="0"/>
          <c:showCatName val="0"/>
          <c:showSerName val="0"/>
          <c:showPercent val="0"/>
          <c:showBubbleSize val="0"/>
        </c:dLbls>
        <c:gapDepth val="34"/>
        <c:axId val="1934627232"/>
        <c:axId val="1"/>
        <c:axId val="0"/>
      </c:area3DChart>
      <c:catAx>
        <c:axId val="1934627232"/>
        <c:scaling>
          <c:orientation val="minMax"/>
        </c:scaling>
        <c:delete val="0"/>
        <c:axPos val="b"/>
        <c:majorGridlines/>
        <c:minorGridlines>
          <c:spPr>
            <a:ln>
              <a:solidFill>
                <a:srgbClr val="FF0000"/>
              </a:solidFill>
            </a:ln>
          </c:spPr>
        </c:min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fi-FI"/>
          </a:p>
        </c:txPr>
        <c:crossAx val="1"/>
        <c:crossesAt val="0"/>
        <c:auto val="1"/>
        <c:lblAlgn val="ctr"/>
        <c:lblOffset val="100"/>
        <c:noMultiLvlLbl val="0"/>
      </c:catAx>
      <c:valAx>
        <c:axId val="1"/>
        <c:scaling>
          <c:orientation val="minMax"/>
          <c:max val="2.2999999999999998"/>
        </c:scaling>
        <c:delete val="0"/>
        <c:axPos val="r"/>
        <c:majorGridlines/>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fi-FI"/>
          </a:p>
        </c:txPr>
        <c:crossAx val="1934627232"/>
        <c:crosses val="max"/>
        <c:crossBetween val="midCat"/>
        <c:majorUnit val="0.25"/>
      </c:valAx>
      <c:spPr>
        <a:noFill/>
        <a:ln w="25400">
          <a:noFill/>
        </a:ln>
      </c:spPr>
    </c:plotArea>
    <c:legend>
      <c:legendPos val="r"/>
      <c:layout>
        <c:manualLayout>
          <c:xMode val="edge"/>
          <c:yMode val="edge"/>
          <c:x val="0.75679531638856012"/>
          <c:y val="0.40302286655855363"/>
          <c:w val="0.23676685977724288"/>
          <c:h val="0.44064945976045794"/>
        </c:manualLayout>
      </c:layout>
      <c:overlay val="1"/>
      <c:txPr>
        <a:bodyPr/>
        <a:lstStyle/>
        <a:p>
          <a:pPr>
            <a:defRPr sz="1180" b="0" i="0" u="none" strike="noStrike" baseline="0">
              <a:solidFill>
                <a:srgbClr val="000000"/>
              </a:solidFill>
              <a:latin typeface="Calibri"/>
              <a:ea typeface="Calibri"/>
              <a:cs typeface="Calibri"/>
            </a:defRPr>
          </a:pPr>
          <a:endParaRPr lang="fi-FI"/>
        </a:p>
      </c:txPr>
    </c:legend>
    <c:plotVisOnly val="1"/>
    <c:dispBlanksAs val="zero"/>
    <c:showDLblsOverMax val="0"/>
  </c:chart>
  <c:spPr>
    <a:solidFill>
      <a:srgbClr val="FFFF99"/>
    </a:solidFill>
  </c:spPr>
  <c:txPr>
    <a:bodyPr/>
    <a:lstStyle/>
    <a:p>
      <a:pPr>
        <a:defRPr sz="1000" b="0" i="0" u="none" strike="noStrike" baseline="0">
          <a:solidFill>
            <a:srgbClr val="000000"/>
          </a:solidFill>
          <a:latin typeface="Calibri"/>
          <a:ea typeface="Calibri"/>
          <a:cs typeface="Calibri"/>
        </a:defRPr>
      </a:pPr>
      <a:endParaRPr lang="fi-FI"/>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fi-FI" sz="1600" b="0" i="0" u="none" strike="noStrike" baseline="0">
                <a:solidFill>
                  <a:srgbClr val="000000"/>
                </a:solidFill>
                <a:latin typeface="Calibri"/>
                <a:cs typeface="Calibri"/>
              </a:rPr>
              <a:t>Kuva 16/2. Väestönsuojan osakustannukset €/m</a:t>
            </a:r>
            <a:r>
              <a:rPr lang="fi-FI" sz="1600" b="0" i="0" u="none" strike="noStrike" baseline="30000">
                <a:solidFill>
                  <a:srgbClr val="000000"/>
                </a:solidFill>
                <a:latin typeface="Calibri"/>
                <a:cs typeface="Calibri"/>
              </a:rPr>
              <a:t>2</a:t>
            </a:r>
            <a:r>
              <a:rPr lang="fi-FI" sz="1600" b="0" i="0" u="none" strike="noStrike" baseline="0">
                <a:solidFill>
                  <a:srgbClr val="000000"/>
                </a:solidFill>
                <a:latin typeface="Calibri"/>
                <a:cs typeface="Calibri"/>
              </a:rPr>
              <a:t>,  1/2020</a:t>
            </a:r>
          </a:p>
        </c:rich>
      </c:tx>
      <c:overlay val="0"/>
    </c:title>
    <c:autoTitleDeleted val="0"/>
    <c:plotArea>
      <c:layout/>
      <c:lineChart>
        <c:grouping val="standard"/>
        <c:varyColors val="0"/>
        <c:ser>
          <c:idx val="0"/>
          <c:order val="0"/>
          <c:tx>
            <c:strRef>
              <c:f>'Pekan jaottelu'!$AO$149</c:f>
              <c:strCache>
                <c:ptCount val="1"/>
                <c:pt idx="0">
                  <c:v>Raudoitus</c:v>
                </c:pt>
              </c:strCache>
            </c:strRef>
          </c:tx>
          <c:spPr>
            <a:ln w="28575">
              <a:solidFill>
                <a:srgbClr val="0070C0"/>
              </a:solidFill>
            </a:ln>
          </c:spPr>
          <c:marker>
            <c:symbol val="none"/>
          </c:marker>
          <c:dLbls>
            <c:dLbl>
              <c:idx val="0"/>
              <c:layout>
                <c:manualLayout>
                  <c:x val="-4.7383794782057901E-3"/>
                  <c:y val="-2.639301138558401E-2"/>
                </c:manualLayout>
              </c:layout>
              <c:spPr/>
              <c:txPr>
                <a:bodyPr/>
                <a:lstStyle/>
                <a:p>
                  <a:pPr>
                    <a:defRPr sz="12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36-4153-B301-71F9C6A168B2}"/>
                </c:ext>
              </c:extLst>
            </c:dLbl>
            <c:dLbl>
              <c:idx val="3"/>
              <c:layout>
                <c:manualLayout>
                  <c:x val="-5.1841779081067234E-2"/>
                  <c:y val="-4.0376112385962948E-2"/>
                </c:manualLayout>
              </c:layout>
              <c:spPr/>
              <c:txPr>
                <a:bodyPr/>
                <a:lstStyle/>
                <a:p>
                  <a:pPr>
                    <a:defRPr sz="12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36-4153-B301-71F9C6A168B2}"/>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jaottelu'!$AP$147:$AS$147</c:f>
              <c:strCache>
                <c:ptCount val="4"/>
                <c:pt idx="0">
                  <c:v>20 m2  </c:v>
                </c:pt>
                <c:pt idx="1">
                  <c:v>45 m2  </c:v>
                </c:pt>
                <c:pt idx="2">
                  <c:v>90 m2  </c:v>
                </c:pt>
                <c:pt idx="3">
                  <c:v>135 m2  </c:v>
                </c:pt>
              </c:strCache>
            </c:strRef>
          </c:cat>
          <c:val>
            <c:numRef>
              <c:f>'Pekan jaottelu'!$AU$149:$AX$149</c:f>
              <c:numCache>
                <c:formatCode>0</c:formatCode>
                <c:ptCount val="4"/>
                <c:pt idx="0">
                  <c:v>301.3</c:v>
                </c:pt>
                <c:pt idx="1">
                  <c:v>207.6888888888889</c:v>
                </c:pt>
                <c:pt idx="2">
                  <c:v>181.54444444444445</c:v>
                </c:pt>
                <c:pt idx="3">
                  <c:v>154.21481481481482</c:v>
                </c:pt>
              </c:numCache>
            </c:numRef>
          </c:val>
          <c:smooth val="0"/>
          <c:extLst>
            <c:ext xmlns:c16="http://schemas.microsoft.com/office/drawing/2014/chart" uri="{C3380CC4-5D6E-409C-BE32-E72D297353CC}">
              <c16:uniqueId val="{00000002-2A36-4153-B301-71F9C6A168B2}"/>
            </c:ext>
          </c:extLst>
        </c:ser>
        <c:ser>
          <c:idx val="1"/>
          <c:order val="1"/>
          <c:tx>
            <c:strRef>
              <c:f>'Pekan jaottelu'!$AO$150</c:f>
              <c:strCache>
                <c:ptCount val="1"/>
                <c:pt idx="0">
                  <c:v>Betoni</c:v>
                </c:pt>
              </c:strCache>
            </c:strRef>
          </c:tx>
          <c:spPr>
            <a:ln w="28575">
              <a:solidFill>
                <a:srgbClr val="FF0000"/>
              </a:solidFill>
            </a:ln>
          </c:spPr>
          <c:marker>
            <c:symbol val="none"/>
          </c:marker>
          <c:dLbls>
            <c:dLbl>
              <c:idx val="0"/>
              <c:layout>
                <c:manualLayout>
                  <c:x val="-1.3781088406079434E-2"/>
                  <c:y val="4.0376295891225419E-2"/>
                </c:manualLayout>
              </c:layout>
              <c:spPr/>
              <c:txPr>
                <a:bodyPr/>
                <a:lstStyle/>
                <a:p>
                  <a:pPr>
                    <a:defRPr sz="12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36-4153-B301-71F9C6A168B2}"/>
                </c:ext>
              </c:extLst>
            </c:dLbl>
            <c:dLbl>
              <c:idx val="3"/>
              <c:layout>
                <c:manualLayout>
                  <c:x val="-5.1841779081067234E-2"/>
                  <c:y val="3.8045779057828931E-2"/>
                </c:manualLayout>
              </c:layout>
              <c:spPr/>
              <c:txPr>
                <a:bodyPr/>
                <a:lstStyle/>
                <a:p>
                  <a:pPr>
                    <a:defRPr sz="12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36-4153-B301-71F9C6A168B2}"/>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Calibri"/>
                    <a:ea typeface="Calibri"/>
                    <a:cs typeface="Calibri"/>
                  </a:defRPr>
                </a:pPr>
                <a:endParaRPr lang="fi-FI"/>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jaottelu'!$AP$147:$AS$147</c:f>
              <c:strCache>
                <c:ptCount val="4"/>
                <c:pt idx="0">
                  <c:v>20 m2  </c:v>
                </c:pt>
                <c:pt idx="1">
                  <c:v>45 m2  </c:v>
                </c:pt>
                <c:pt idx="2">
                  <c:v>90 m2  </c:v>
                </c:pt>
                <c:pt idx="3">
                  <c:v>135 m2  </c:v>
                </c:pt>
              </c:strCache>
            </c:strRef>
          </c:cat>
          <c:val>
            <c:numRef>
              <c:f>'Pekan jaottelu'!$AU$150:$AX$150</c:f>
              <c:numCache>
                <c:formatCode>0</c:formatCode>
                <c:ptCount val="4"/>
                <c:pt idx="0">
                  <c:v>264.64999999999998</c:v>
                </c:pt>
                <c:pt idx="1">
                  <c:v>184.2</c:v>
                </c:pt>
                <c:pt idx="2">
                  <c:v>160.27777777777777</c:v>
                </c:pt>
                <c:pt idx="3">
                  <c:v>137.90370370370371</c:v>
                </c:pt>
              </c:numCache>
            </c:numRef>
          </c:val>
          <c:smooth val="0"/>
          <c:extLst>
            <c:ext xmlns:c16="http://schemas.microsoft.com/office/drawing/2014/chart" uri="{C3380CC4-5D6E-409C-BE32-E72D297353CC}">
              <c16:uniqueId val="{00000005-2A36-4153-B301-71F9C6A168B2}"/>
            </c:ext>
          </c:extLst>
        </c:ser>
        <c:ser>
          <c:idx val="2"/>
          <c:order val="2"/>
          <c:tx>
            <c:strRef>
              <c:f>'Pekan jaottelu'!$AO$151</c:f>
              <c:strCache>
                <c:ptCount val="1"/>
                <c:pt idx="0">
                  <c:v>Muottien teko</c:v>
                </c:pt>
              </c:strCache>
            </c:strRef>
          </c:tx>
          <c:spPr>
            <a:ln w="28575">
              <a:solidFill>
                <a:srgbClr val="00B050"/>
              </a:solidFill>
            </a:ln>
          </c:spPr>
          <c:marker>
            <c:symbol val="none"/>
          </c:marker>
          <c:dLbls>
            <c:dLbl>
              <c:idx val="0"/>
              <c:layout>
                <c:manualLayout>
                  <c:x val="2.4188007288600495E-2"/>
                  <c:y val="1.0910243570778856E-2"/>
                </c:manualLayout>
              </c:layout>
              <c:spPr/>
              <c:txPr>
                <a:bodyPr/>
                <a:lstStyle/>
                <a:p>
                  <a:pPr>
                    <a:defRPr sz="12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A36-4153-B301-71F9C6A168B2}"/>
                </c:ext>
              </c:extLst>
            </c:dLbl>
            <c:dLbl>
              <c:idx val="3"/>
              <c:layout>
                <c:manualLayout>
                  <c:x val="-5.3627524957592057E-2"/>
                  <c:y val="-4.5099091318369332E-2"/>
                </c:manualLayout>
              </c:layout>
              <c:spPr/>
              <c:txPr>
                <a:bodyPr/>
                <a:lstStyle/>
                <a:p>
                  <a:pPr>
                    <a:defRPr sz="12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A36-4153-B301-71F9C6A168B2}"/>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jaottelu'!$AP$147:$AS$147</c:f>
              <c:strCache>
                <c:ptCount val="4"/>
                <c:pt idx="0">
                  <c:v>20 m2  </c:v>
                </c:pt>
                <c:pt idx="1">
                  <c:v>45 m2  </c:v>
                </c:pt>
                <c:pt idx="2">
                  <c:v>90 m2  </c:v>
                </c:pt>
                <c:pt idx="3">
                  <c:v>135 m2  </c:v>
                </c:pt>
              </c:strCache>
            </c:strRef>
          </c:cat>
          <c:val>
            <c:numRef>
              <c:f>'Pekan jaottelu'!$AU$151:$AX$151</c:f>
              <c:numCache>
                <c:formatCode>0</c:formatCode>
                <c:ptCount val="4"/>
                <c:pt idx="0">
                  <c:v>500.5</c:v>
                </c:pt>
                <c:pt idx="1">
                  <c:v>337.88888888888891</c:v>
                </c:pt>
                <c:pt idx="2">
                  <c:v>298.22222222222223</c:v>
                </c:pt>
                <c:pt idx="3">
                  <c:v>246</c:v>
                </c:pt>
              </c:numCache>
            </c:numRef>
          </c:val>
          <c:smooth val="0"/>
          <c:extLst>
            <c:ext xmlns:c16="http://schemas.microsoft.com/office/drawing/2014/chart" uri="{C3380CC4-5D6E-409C-BE32-E72D297353CC}">
              <c16:uniqueId val="{00000008-2A36-4153-B301-71F9C6A168B2}"/>
            </c:ext>
          </c:extLst>
        </c:ser>
        <c:dLbls>
          <c:showLegendKey val="0"/>
          <c:showVal val="0"/>
          <c:showCatName val="0"/>
          <c:showSerName val="0"/>
          <c:showPercent val="0"/>
          <c:showBubbleSize val="0"/>
        </c:dLbls>
        <c:smooth val="0"/>
        <c:axId val="1934609472"/>
        <c:axId val="1"/>
      </c:lineChart>
      <c:catAx>
        <c:axId val="1934609472"/>
        <c:scaling>
          <c:orientation val="minMax"/>
        </c:scaling>
        <c:delete val="0"/>
        <c:axPos val="b"/>
        <c:majorGridlines/>
        <c:minorGridlines/>
        <c:numFmt formatCode="General" sourceLinked="1"/>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fi-FI"/>
          </a:p>
        </c:txPr>
        <c:crossAx val="1"/>
        <c:crosses val="autoZero"/>
        <c:auto val="1"/>
        <c:lblAlgn val="ctr"/>
        <c:lblOffset val="100"/>
        <c:tickLblSkip val="1"/>
        <c:noMultiLvlLbl val="0"/>
      </c:catAx>
      <c:valAx>
        <c:axId val="1"/>
        <c:scaling>
          <c:orientation val="minMax"/>
          <c:max val="510"/>
          <c:min val="100"/>
        </c:scaling>
        <c:delete val="0"/>
        <c:axPos val="l"/>
        <c:majorGridlines/>
        <c:title>
          <c:tx>
            <c:rich>
              <a:bodyPr/>
              <a:lstStyle/>
              <a:p>
                <a:pPr>
                  <a:defRPr sz="1100" b="0" i="0" u="none" strike="noStrike" baseline="0">
                    <a:solidFill>
                      <a:srgbClr val="000000"/>
                    </a:solidFill>
                    <a:latin typeface="Calibri"/>
                    <a:ea typeface="Calibri"/>
                    <a:cs typeface="Calibri"/>
                  </a:defRPr>
                </a:pPr>
                <a:r>
                  <a:rPr lang="fi-FI" sz="1100" b="1" i="0" u="none" strike="noStrike" baseline="0">
                    <a:solidFill>
                      <a:srgbClr val="000000"/>
                    </a:solidFill>
                    <a:latin typeface="Calibri"/>
                    <a:cs typeface="Calibri"/>
                  </a:rPr>
                  <a:t>Paikalla tehdyn väestönsuojan osahintoja €/m</a:t>
                </a:r>
                <a:r>
                  <a:rPr lang="fi-FI" sz="1100" b="1" i="0" u="none" strike="noStrike" baseline="30000">
                    <a:solidFill>
                      <a:srgbClr val="000000"/>
                    </a:solidFill>
                    <a:latin typeface="Calibri"/>
                    <a:cs typeface="Calibri"/>
                  </a:rPr>
                  <a:t>2</a:t>
                </a:r>
              </a:p>
            </c:rich>
          </c:tx>
          <c:overlay val="0"/>
        </c:title>
        <c:numFmt formatCode="0" sourceLinked="1"/>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fi-FI"/>
          </a:p>
        </c:txPr>
        <c:crossAx val="1934609472"/>
        <c:crosses val="autoZero"/>
        <c:crossBetween val="midCat"/>
      </c:valAx>
    </c:plotArea>
    <c:legend>
      <c:legendPos val="r"/>
      <c:layout>
        <c:manualLayout>
          <c:xMode val="edge"/>
          <c:yMode val="edge"/>
          <c:x val="0.56859380868805098"/>
          <c:y val="0.13757053977906486"/>
          <c:w val="0.27084169335728092"/>
          <c:h val="0.24021928266311937"/>
        </c:manualLayout>
      </c:layout>
      <c:overlay val="1"/>
      <c:txPr>
        <a:bodyPr/>
        <a:lstStyle/>
        <a:p>
          <a:pPr>
            <a:defRPr sz="1180" b="0" i="0" u="none" strike="noStrike" baseline="0">
              <a:solidFill>
                <a:srgbClr val="000000"/>
              </a:solidFill>
              <a:latin typeface="Calibri"/>
              <a:ea typeface="Calibri"/>
              <a:cs typeface="Calibri"/>
            </a:defRPr>
          </a:pPr>
          <a:endParaRPr lang="fi-FI"/>
        </a:p>
      </c:txPr>
    </c:legend>
    <c:plotVisOnly val="1"/>
    <c:dispBlanksAs val="gap"/>
    <c:showDLblsOverMax val="0"/>
  </c:chart>
  <c:spPr>
    <a:solidFill>
      <a:srgbClr val="92D050"/>
    </a:solidFill>
  </c:spPr>
  <c:txPr>
    <a:bodyPr/>
    <a:lstStyle/>
    <a:p>
      <a:pPr>
        <a:defRPr sz="10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baseline="0">
                <a:solidFill>
                  <a:srgbClr val="000000"/>
                </a:solidFill>
                <a:latin typeface="Calibri"/>
                <a:ea typeface="Calibri"/>
                <a:cs typeface="Calibri"/>
              </a:defRPr>
            </a:pPr>
            <a:r>
              <a:rPr lang="fi-FI"/>
              <a:t>Kuva 17/2. Väestönsuojan osakustannukset euroina,  1/2020</a:t>
            </a:r>
          </a:p>
        </c:rich>
      </c:tx>
      <c:layout>
        <c:manualLayout>
          <c:xMode val="edge"/>
          <c:yMode val="edge"/>
          <c:x val="0.24827327306978195"/>
          <c:y val="1.5094329023378617E-2"/>
        </c:manualLayout>
      </c:layout>
      <c:overlay val="0"/>
    </c:title>
    <c:autoTitleDeleted val="0"/>
    <c:plotArea>
      <c:layout/>
      <c:lineChart>
        <c:grouping val="standard"/>
        <c:varyColors val="0"/>
        <c:ser>
          <c:idx val="0"/>
          <c:order val="0"/>
          <c:tx>
            <c:strRef>
              <c:f>'Pekan jaottelu'!$AO$149</c:f>
              <c:strCache>
                <c:ptCount val="1"/>
                <c:pt idx="0">
                  <c:v>Raudoitus</c:v>
                </c:pt>
              </c:strCache>
            </c:strRef>
          </c:tx>
          <c:spPr>
            <a:ln w="28575">
              <a:solidFill>
                <a:srgbClr val="0070C0"/>
              </a:solidFill>
            </a:ln>
          </c:spPr>
          <c:marker>
            <c:symbol val="none"/>
          </c:marker>
          <c:dLbls>
            <c:dLbl>
              <c:idx val="0"/>
              <c:layout>
                <c:manualLayout>
                  <c:x val="-1.3029434974992406E-2"/>
                  <c:y val="-4.3502155769896064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B9-49EC-BF82-0B73A29B3D21}"/>
                </c:ext>
              </c:extLst>
            </c:dLbl>
            <c:dLbl>
              <c:idx val="3"/>
              <c:layout>
                <c:manualLayout>
                  <c:x val="-5.4580976158762146E-2"/>
                  <c:y val="-3.8543221214556306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B9-49EC-BF82-0B73A29B3D21}"/>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jaottelu'!$AP$147:$AS$147</c:f>
              <c:strCache>
                <c:ptCount val="4"/>
                <c:pt idx="0">
                  <c:v>20 m2  </c:v>
                </c:pt>
                <c:pt idx="1">
                  <c:v>45 m2  </c:v>
                </c:pt>
                <c:pt idx="2">
                  <c:v>90 m2  </c:v>
                </c:pt>
                <c:pt idx="3">
                  <c:v>135 m2  </c:v>
                </c:pt>
              </c:strCache>
            </c:strRef>
          </c:cat>
          <c:val>
            <c:numRef>
              <c:f>'Pekan jaottelu'!$AP$149:$AS$149</c:f>
              <c:numCache>
                <c:formatCode>#,##0</c:formatCode>
                <c:ptCount val="4"/>
                <c:pt idx="0">
                  <c:v>6026</c:v>
                </c:pt>
                <c:pt idx="1">
                  <c:v>9346</c:v>
                </c:pt>
                <c:pt idx="2">
                  <c:v>16339</c:v>
                </c:pt>
                <c:pt idx="3">
                  <c:v>20819</c:v>
                </c:pt>
              </c:numCache>
            </c:numRef>
          </c:val>
          <c:smooth val="0"/>
          <c:extLst>
            <c:ext xmlns:c16="http://schemas.microsoft.com/office/drawing/2014/chart" uri="{C3380CC4-5D6E-409C-BE32-E72D297353CC}">
              <c16:uniqueId val="{00000002-8AB9-49EC-BF82-0B73A29B3D21}"/>
            </c:ext>
          </c:extLst>
        </c:ser>
        <c:ser>
          <c:idx val="1"/>
          <c:order val="1"/>
          <c:tx>
            <c:strRef>
              <c:f>'Pekan jaottelu'!$AO$150</c:f>
              <c:strCache>
                <c:ptCount val="1"/>
                <c:pt idx="0">
                  <c:v>Betoni</c:v>
                </c:pt>
              </c:strCache>
            </c:strRef>
          </c:tx>
          <c:spPr>
            <a:ln w="28575">
              <a:solidFill>
                <a:srgbClr val="FF0000"/>
              </a:solidFill>
            </a:ln>
          </c:spPr>
          <c:marker>
            <c:symbol val="none"/>
          </c:marker>
          <c:dLbls>
            <c:dLbl>
              <c:idx val="0"/>
              <c:layout>
                <c:manualLayout>
                  <c:x val="-5.1822337762296193E-3"/>
                  <c:y val="3.6485458607734222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B9-49EC-BF82-0B73A29B3D21}"/>
                </c:ext>
              </c:extLst>
            </c:dLbl>
            <c:dLbl>
              <c:idx val="3"/>
              <c:layout>
                <c:manualLayout>
                  <c:x val="-4.2039787028319391E-2"/>
                  <c:y val="5.0940752836549613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AB9-49EC-BF82-0B73A29B3D21}"/>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jaottelu'!$AP$147:$AS$147</c:f>
              <c:strCache>
                <c:ptCount val="4"/>
                <c:pt idx="0">
                  <c:v>20 m2  </c:v>
                </c:pt>
                <c:pt idx="1">
                  <c:v>45 m2  </c:v>
                </c:pt>
                <c:pt idx="2">
                  <c:v>90 m2  </c:v>
                </c:pt>
                <c:pt idx="3">
                  <c:v>135 m2  </c:v>
                </c:pt>
              </c:strCache>
            </c:strRef>
          </c:cat>
          <c:val>
            <c:numRef>
              <c:f>'Pekan jaottelu'!$AP$150:$AS$150</c:f>
              <c:numCache>
                <c:formatCode>#,##0</c:formatCode>
                <c:ptCount val="4"/>
                <c:pt idx="0">
                  <c:v>5293</c:v>
                </c:pt>
                <c:pt idx="1">
                  <c:v>8289</c:v>
                </c:pt>
                <c:pt idx="2">
                  <c:v>14425</c:v>
                </c:pt>
                <c:pt idx="3">
                  <c:v>18617</c:v>
                </c:pt>
              </c:numCache>
            </c:numRef>
          </c:val>
          <c:smooth val="0"/>
          <c:extLst>
            <c:ext xmlns:c16="http://schemas.microsoft.com/office/drawing/2014/chart" uri="{C3380CC4-5D6E-409C-BE32-E72D297353CC}">
              <c16:uniqueId val="{00000005-8AB9-49EC-BF82-0B73A29B3D21}"/>
            </c:ext>
          </c:extLst>
        </c:ser>
        <c:ser>
          <c:idx val="2"/>
          <c:order val="2"/>
          <c:tx>
            <c:strRef>
              <c:f>'Pekan jaottelu'!$AO$151</c:f>
              <c:strCache>
                <c:ptCount val="1"/>
                <c:pt idx="0">
                  <c:v>Muottien teko</c:v>
                </c:pt>
              </c:strCache>
            </c:strRef>
          </c:tx>
          <c:spPr>
            <a:ln w="28575">
              <a:solidFill>
                <a:srgbClr val="00B050"/>
              </a:solidFill>
            </a:ln>
          </c:spPr>
          <c:marker>
            <c:symbol val="none"/>
          </c:marker>
          <c:dLbls>
            <c:dLbl>
              <c:idx val="0"/>
              <c:layout>
                <c:manualLayout>
                  <c:x val="-1.0427102962739548E-2"/>
                  <c:y val="-4.8461090325235823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B9-49EC-BF82-0B73A29B3D21}"/>
                </c:ext>
              </c:extLst>
            </c:dLbl>
            <c:dLbl>
              <c:idx val="3"/>
              <c:layout>
                <c:manualLayout>
                  <c:x val="-4.920618081714382E-2"/>
                  <c:y val="-2.8625352103876782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AB9-49EC-BF82-0B73A29B3D21}"/>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jaottelu'!$AP$147:$AS$147</c:f>
              <c:strCache>
                <c:ptCount val="4"/>
                <c:pt idx="0">
                  <c:v>20 m2  </c:v>
                </c:pt>
                <c:pt idx="1">
                  <c:v>45 m2  </c:v>
                </c:pt>
                <c:pt idx="2">
                  <c:v>90 m2  </c:v>
                </c:pt>
                <c:pt idx="3">
                  <c:v>135 m2  </c:v>
                </c:pt>
              </c:strCache>
            </c:strRef>
          </c:cat>
          <c:val>
            <c:numRef>
              <c:f>'Pekan jaottelu'!$AP$151:$AS$151</c:f>
              <c:numCache>
                <c:formatCode>#,##0</c:formatCode>
                <c:ptCount val="4"/>
                <c:pt idx="0">
                  <c:v>10010</c:v>
                </c:pt>
                <c:pt idx="1">
                  <c:v>15205</c:v>
                </c:pt>
                <c:pt idx="2">
                  <c:v>26840</c:v>
                </c:pt>
                <c:pt idx="3">
                  <c:v>33210</c:v>
                </c:pt>
              </c:numCache>
            </c:numRef>
          </c:val>
          <c:smooth val="0"/>
          <c:extLst>
            <c:ext xmlns:c16="http://schemas.microsoft.com/office/drawing/2014/chart" uri="{C3380CC4-5D6E-409C-BE32-E72D297353CC}">
              <c16:uniqueId val="{00000008-8AB9-49EC-BF82-0B73A29B3D21}"/>
            </c:ext>
          </c:extLst>
        </c:ser>
        <c:dLbls>
          <c:showLegendKey val="0"/>
          <c:showVal val="0"/>
          <c:showCatName val="0"/>
          <c:showSerName val="0"/>
          <c:showPercent val="0"/>
          <c:showBubbleSize val="0"/>
        </c:dLbls>
        <c:smooth val="0"/>
        <c:axId val="1934624352"/>
        <c:axId val="1"/>
      </c:lineChart>
      <c:catAx>
        <c:axId val="1934624352"/>
        <c:scaling>
          <c:orientation val="minMax"/>
        </c:scaling>
        <c:delete val="0"/>
        <c:axPos val="b"/>
        <c:minorGridlines/>
        <c:numFmt formatCode="General" sourceLinked="1"/>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fi-FI"/>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txPr>
          <a:bodyPr rot="0" vert="horz"/>
          <a:lstStyle/>
          <a:p>
            <a:pPr>
              <a:defRPr sz="1100" b="0" i="0" u="none" strike="noStrike" baseline="0">
                <a:solidFill>
                  <a:srgbClr val="000000"/>
                </a:solidFill>
                <a:latin typeface="Calibri"/>
                <a:ea typeface="Calibri"/>
                <a:cs typeface="Calibri"/>
              </a:defRPr>
            </a:pPr>
            <a:endParaRPr lang="fi-FI"/>
          </a:p>
        </c:txPr>
        <c:crossAx val="1934624352"/>
        <c:crosses val="autoZero"/>
        <c:crossBetween val="midCat"/>
      </c:valAx>
    </c:plotArea>
    <c:legend>
      <c:legendPos val="r"/>
      <c:layout>
        <c:manualLayout>
          <c:xMode val="edge"/>
          <c:yMode val="edge"/>
          <c:x val="0.15663138493230516"/>
          <c:y val="0.14406228056213544"/>
          <c:w val="0.24097130930922794"/>
          <c:h val="0.21009091164436788"/>
        </c:manualLayout>
      </c:layout>
      <c:overlay val="1"/>
      <c:txPr>
        <a:bodyPr/>
        <a:lstStyle/>
        <a:p>
          <a:pPr>
            <a:defRPr sz="1350" b="0" i="0" u="none" strike="noStrike" baseline="0">
              <a:solidFill>
                <a:srgbClr val="000000"/>
              </a:solidFill>
              <a:latin typeface="Calibri"/>
              <a:ea typeface="Calibri"/>
              <a:cs typeface="Calibri"/>
            </a:defRPr>
          </a:pPr>
          <a:endParaRPr lang="fi-FI"/>
        </a:p>
      </c:txPr>
    </c:legend>
    <c:plotVisOnly val="1"/>
    <c:dispBlanksAs val="gap"/>
    <c:showDLblsOverMax val="0"/>
  </c:chart>
  <c:spPr>
    <a:solidFill>
      <a:srgbClr val="FFFF00"/>
    </a:solidFill>
  </c:spPr>
  <c:txPr>
    <a:bodyPr/>
    <a:lstStyle/>
    <a:p>
      <a:pPr>
        <a:defRPr sz="11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fi-FI" sz="1800" b="0" i="0" u="none" strike="noStrike" baseline="0">
                <a:solidFill>
                  <a:srgbClr val="000000"/>
                </a:solidFill>
                <a:latin typeface="Calibri"/>
                <a:cs typeface="Calibri"/>
              </a:rPr>
              <a:t>Kuva 18/2. Väestönsuojan osakustannuksia €/m</a:t>
            </a:r>
            <a:r>
              <a:rPr lang="fi-FI" sz="1800" b="0" i="0" u="none" strike="noStrike" baseline="30000">
                <a:solidFill>
                  <a:srgbClr val="000000"/>
                </a:solidFill>
                <a:latin typeface="Calibri"/>
                <a:cs typeface="Calibri"/>
              </a:rPr>
              <a:t>2</a:t>
            </a:r>
            <a:r>
              <a:rPr lang="fi-FI" sz="1800" b="0" i="0" u="none" strike="noStrike" baseline="0">
                <a:solidFill>
                  <a:srgbClr val="000000"/>
                </a:solidFill>
                <a:latin typeface="Calibri"/>
                <a:cs typeface="Calibri"/>
              </a:rPr>
              <a:t>,  1/2020</a:t>
            </a:r>
          </a:p>
        </c:rich>
      </c:tx>
      <c:layout>
        <c:manualLayout>
          <c:xMode val="edge"/>
          <c:yMode val="edge"/>
          <c:x val="0.18493243418830074"/>
          <c:y val="1.5158703551008942E-2"/>
        </c:manualLayout>
      </c:layout>
      <c:overlay val="0"/>
    </c:title>
    <c:autoTitleDeleted val="0"/>
    <c:plotArea>
      <c:layout>
        <c:manualLayout>
          <c:layoutTarget val="inner"/>
          <c:xMode val="edge"/>
          <c:yMode val="edge"/>
          <c:x val="8.1012590636339976E-2"/>
          <c:y val="9.8689458689458692E-2"/>
          <c:w val="0.87605584800461"/>
          <c:h val="0.83574542925724027"/>
        </c:manualLayout>
      </c:layout>
      <c:lineChart>
        <c:grouping val="standard"/>
        <c:varyColors val="0"/>
        <c:ser>
          <c:idx val="0"/>
          <c:order val="0"/>
          <c:tx>
            <c:strRef>
              <c:f>'Pekan jaottelu'!$AO$148</c:f>
              <c:strCache>
                <c:ptCount val="1"/>
                <c:pt idx="0">
                  <c:v>Suunnittelu</c:v>
                </c:pt>
              </c:strCache>
            </c:strRef>
          </c:tx>
          <c:spPr>
            <a:ln w="28575"/>
          </c:spPr>
          <c:marker>
            <c:symbol val="none"/>
          </c:marker>
          <c:cat>
            <c:strRef>
              <c:f>'Pekan jaottelu'!$AP$147:$AS$147</c:f>
              <c:strCache>
                <c:ptCount val="4"/>
                <c:pt idx="0">
                  <c:v>20 m2  </c:v>
                </c:pt>
                <c:pt idx="1">
                  <c:v>45 m2  </c:v>
                </c:pt>
                <c:pt idx="2">
                  <c:v>90 m2  </c:v>
                </c:pt>
                <c:pt idx="3">
                  <c:v>135 m2  </c:v>
                </c:pt>
              </c:strCache>
            </c:strRef>
          </c:cat>
          <c:val>
            <c:numRef>
              <c:f>'Pekan jaottelu'!$AU$148:$AX$148</c:f>
              <c:numCache>
                <c:formatCode>General</c:formatCode>
                <c:ptCount val="4"/>
                <c:pt idx="0">
                  <c:v>260</c:v>
                </c:pt>
                <c:pt idx="1">
                  <c:v>120</c:v>
                </c:pt>
                <c:pt idx="2" formatCode="0">
                  <c:v>81.111111111111114</c:v>
                </c:pt>
                <c:pt idx="3" formatCode="0">
                  <c:v>59.25925925925926</c:v>
                </c:pt>
              </c:numCache>
            </c:numRef>
          </c:val>
          <c:smooth val="0"/>
          <c:extLst>
            <c:ext xmlns:c16="http://schemas.microsoft.com/office/drawing/2014/chart" uri="{C3380CC4-5D6E-409C-BE32-E72D297353CC}">
              <c16:uniqueId val="{00000000-706F-4778-AFCE-4A9DE38764CE}"/>
            </c:ext>
          </c:extLst>
        </c:ser>
        <c:ser>
          <c:idx val="4"/>
          <c:order val="1"/>
          <c:tx>
            <c:strRef>
              <c:f>'Pekan jaottelu'!$AO$152</c:f>
              <c:strCache>
                <c:ptCount val="1"/>
                <c:pt idx="0">
                  <c:v>Väestönsuojan varusteet</c:v>
                </c:pt>
              </c:strCache>
            </c:strRef>
          </c:tx>
          <c:spPr>
            <a:ln w="28575">
              <a:solidFill>
                <a:srgbClr val="FFC000"/>
              </a:solidFill>
            </a:ln>
          </c:spPr>
          <c:marker>
            <c:symbol val="none"/>
          </c:marker>
          <c:cat>
            <c:strRef>
              <c:f>'Pekan jaottelu'!$AP$147:$AS$147</c:f>
              <c:strCache>
                <c:ptCount val="4"/>
                <c:pt idx="0">
                  <c:v>20 m2  </c:v>
                </c:pt>
                <c:pt idx="1">
                  <c:v>45 m2  </c:v>
                </c:pt>
                <c:pt idx="2">
                  <c:v>90 m2  </c:v>
                </c:pt>
                <c:pt idx="3">
                  <c:v>135 m2  </c:v>
                </c:pt>
              </c:strCache>
            </c:strRef>
          </c:cat>
          <c:val>
            <c:numRef>
              <c:f>'Pekan jaottelu'!$AU$152:$AX$152</c:f>
              <c:numCache>
                <c:formatCode>0</c:formatCode>
                <c:ptCount val="4"/>
                <c:pt idx="0">
                  <c:v>625.35</c:v>
                </c:pt>
                <c:pt idx="1">
                  <c:v>300.9111111111111</c:v>
                </c:pt>
                <c:pt idx="2">
                  <c:v>261.15555555555557</c:v>
                </c:pt>
                <c:pt idx="3">
                  <c:v>239.68148148148148</c:v>
                </c:pt>
              </c:numCache>
            </c:numRef>
          </c:val>
          <c:smooth val="0"/>
          <c:extLst>
            <c:ext xmlns:c16="http://schemas.microsoft.com/office/drawing/2014/chart" uri="{C3380CC4-5D6E-409C-BE32-E72D297353CC}">
              <c16:uniqueId val="{00000001-706F-4778-AFCE-4A9DE38764CE}"/>
            </c:ext>
          </c:extLst>
        </c:ser>
        <c:ser>
          <c:idx val="5"/>
          <c:order val="2"/>
          <c:tx>
            <c:strRef>
              <c:f>'Pekan jaottelu'!$AO$153</c:f>
              <c:strCache>
                <c:ptCount val="1"/>
                <c:pt idx="0">
                  <c:v>Työmaan käyttökustannukset</c:v>
                </c:pt>
              </c:strCache>
            </c:strRef>
          </c:tx>
          <c:spPr>
            <a:ln w="28575"/>
          </c:spPr>
          <c:marker>
            <c:symbol val="none"/>
          </c:marker>
          <c:cat>
            <c:strRef>
              <c:f>'Pekan jaottelu'!$AP$147:$AS$147</c:f>
              <c:strCache>
                <c:ptCount val="4"/>
                <c:pt idx="0">
                  <c:v>20 m2  </c:v>
                </c:pt>
                <c:pt idx="1">
                  <c:v>45 m2  </c:v>
                </c:pt>
                <c:pt idx="2">
                  <c:v>90 m2  </c:v>
                </c:pt>
                <c:pt idx="3">
                  <c:v>135 m2  </c:v>
                </c:pt>
              </c:strCache>
            </c:strRef>
          </c:cat>
          <c:val>
            <c:numRef>
              <c:f>'Pekan jaottelu'!$AU$153:$AX$153</c:f>
              <c:numCache>
                <c:formatCode>0</c:formatCode>
                <c:ptCount val="4"/>
                <c:pt idx="0" formatCode="General">
                  <c:v>225</c:v>
                </c:pt>
                <c:pt idx="1">
                  <c:v>193.33333333333334</c:v>
                </c:pt>
                <c:pt idx="2">
                  <c:v>178.33333333333334</c:v>
                </c:pt>
                <c:pt idx="3">
                  <c:v>174.44444444444446</c:v>
                </c:pt>
              </c:numCache>
            </c:numRef>
          </c:val>
          <c:smooth val="0"/>
          <c:extLst>
            <c:ext xmlns:c16="http://schemas.microsoft.com/office/drawing/2014/chart" uri="{C3380CC4-5D6E-409C-BE32-E72D297353CC}">
              <c16:uniqueId val="{00000002-706F-4778-AFCE-4A9DE38764CE}"/>
            </c:ext>
          </c:extLst>
        </c:ser>
        <c:ser>
          <c:idx val="7"/>
          <c:order val="3"/>
          <c:tx>
            <c:strRef>
              <c:f>'Pekan jaottelu'!$AO$155</c:f>
              <c:strCache>
                <c:ptCount val="1"/>
                <c:pt idx="0">
                  <c:v>Palkat työmaalla</c:v>
                </c:pt>
              </c:strCache>
            </c:strRef>
          </c:tx>
          <c:spPr>
            <a:ln w="28575">
              <a:solidFill>
                <a:srgbClr val="7030A0"/>
              </a:solidFill>
            </a:ln>
          </c:spPr>
          <c:marker>
            <c:symbol val="none"/>
          </c:marker>
          <c:cat>
            <c:strRef>
              <c:f>'Pekan jaottelu'!$AP$147:$AS$147</c:f>
              <c:strCache>
                <c:ptCount val="4"/>
                <c:pt idx="0">
                  <c:v>20 m2  </c:v>
                </c:pt>
                <c:pt idx="1">
                  <c:v>45 m2  </c:v>
                </c:pt>
                <c:pt idx="2">
                  <c:v>90 m2  </c:v>
                </c:pt>
                <c:pt idx="3">
                  <c:v>135 m2  </c:v>
                </c:pt>
              </c:strCache>
            </c:strRef>
          </c:cat>
          <c:val>
            <c:numRef>
              <c:f>'Pekan jaottelu'!$AU$155:$AX$155</c:f>
              <c:numCache>
                <c:formatCode>0</c:formatCode>
                <c:ptCount val="4"/>
                <c:pt idx="0" formatCode="General">
                  <c:v>570</c:v>
                </c:pt>
                <c:pt idx="1">
                  <c:v>400.88888888888891</c:v>
                </c:pt>
                <c:pt idx="2">
                  <c:v>352.44444444444446</c:v>
                </c:pt>
                <c:pt idx="3">
                  <c:v>305.18518518518516</c:v>
                </c:pt>
              </c:numCache>
            </c:numRef>
          </c:val>
          <c:smooth val="0"/>
          <c:extLst>
            <c:ext xmlns:c16="http://schemas.microsoft.com/office/drawing/2014/chart" uri="{C3380CC4-5D6E-409C-BE32-E72D297353CC}">
              <c16:uniqueId val="{00000003-706F-4778-AFCE-4A9DE38764CE}"/>
            </c:ext>
          </c:extLst>
        </c:ser>
        <c:ser>
          <c:idx val="8"/>
          <c:order val="4"/>
          <c:tx>
            <c:strRef>
              <c:f>'Pekan jaottelu'!$AO$156</c:f>
              <c:strCache>
                <c:ptCount val="1"/>
                <c:pt idx="0">
                  <c:v>LVI- työt</c:v>
                </c:pt>
              </c:strCache>
            </c:strRef>
          </c:tx>
          <c:spPr>
            <a:ln w="28575">
              <a:solidFill>
                <a:srgbClr val="FF0000"/>
              </a:solidFill>
              <a:prstDash val="dash"/>
            </a:ln>
          </c:spPr>
          <c:marker>
            <c:symbol val="none"/>
          </c:marker>
          <c:cat>
            <c:strRef>
              <c:f>'Pekan jaottelu'!$AP$147:$AS$147</c:f>
              <c:strCache>
                <c:ptCount val="4"/>
                <c:pt idx="0">
                  <c:v>20 m2  </c:v>
                </c:pt>
                <c:pt idx="1">
                  <c:v>45 m2  </c:v>
                </c:pt>
                <c:pt idx="2">
                  <c:v>90 m2  </c:v>
                </c:pt>
                <c:pt idx="3">
                  <c:v>135 m2  </c:v>
                </c:pt>
              </c:strCache>
            </c:strRef>
          </c:cat>
          <c:val>
            <c:numRef>
              <c:f>'Pekan jaottelu'!$AU$156:$AX$156</c:f>
              <c:numCache>
                <c:formatCode>0</c:formatCode>
                <c:ptCount val="4"/>
                <c:pt idx="0">
                  <c:v>75</c:v>
                </c:pt>
                <c:pt idx="1">
                  <c:v>33.333333333333336</c:v>
                </c:pt>
                <c:pt idx="2">
                  <c:v>22.222222222222221</c:v>
                </c:pt>
                <c:pt idx="3">
                  <c:v>18.518518518518519</c:v>
                </c:pt>
              </c:numCache>
            </c:numRef>
          </c:val>
          <c:smooth val="0"/>
          <c:extLst>
            <c:ext xmlns:c16="http://schemas.microsoft.com/office/drawing/2014/chart" uri="{C3380CC4-5D6E-409C-BE32-E72D297353CC}">
              <c16:uniqueId val="{00000004-706F-4778-AFCE-4A9DE38764CE}"/>
            </c:ext>
          </c:extLst>
        </c:ser>
        <c:ser>
          <c:idx val="9"/>
          <c:order val="5"/>
          <c:tx>
            <c:strRef>
              <c:f>'Pekan jaottelu'!$AO$157</c:f>
              <c:strCache>
                <c:ptCount val="1"/>
                <c:pt idx="0">
                  <c:v>Sähkötyöt</c:v>
                </c:pt>
              </c:strCache>
            </c:strRef>
          </c:tx>
          <c:spPr>
            <a:ln w="28575">
              <a:solidFill>
                <a:srgbClr val="FF0000"/>
              </a:solidFill>
            </a:ln>
          </c:spPr>
          <c:marker>
            <c:symbol val="none"/>
          </c:marker>
          <c:cat>
            <c:strRef>
              <c:f>'Pekan jaottelu'!$AP$147:$AS$147</c:f>
              <c:strCache>
                <c:ptCount val="4"/>
                <c:pt idx="0">
                  <c:v>20 m2  </c:v>
                </c:pt>
                <c:pt idx="1">
                  <c:v>45 m2  </c:v>
                </c:pt>
                <c:pt idx="2">
                  <c:v>90 m2  </c:v>
                </c:pt>
                <c:pt idx="3">
                  <c:v>135 m2  </c:v>
                </c:pt>
              </c:strCache>
            </c:strRef>
          </c:cat>
          <c:val>
            <c:numRef>
              <c:f>'Pekan jaottelu'!$AU$157:$AX$157</c:f>
              <c:numCache>
                <c:formatCode>0</c:formatCode>
                <c:ptCount val="4"/>
                <c:pt idx="0">
                  <c:v>177.35</c:v>
                </c:pt>
                <c:pt idx="1">
                  <c:v>84.711111111111109</c:v>
                </c:pt>
                <c:pt idx="2">
                  <c:v>47.777777777777779</c:v>
                </c:pt>
                <c:pt idx="3">
                  <c:v>35.829629629629629</c:v>
                </c:pt>
              </c:numCache>
            </c:numRef>
          </c:val>
          <c:smooth val="0"/>
          <c:extLst>
            <c:ext xmlns:c16="http://schemas.microsoft.com/office/drawing/2014/chart" uri="{C3380CC4-5D6E-409C-BE32-E72D297353CC}">
              <c16:uniqueId val="{00000005-706F-4778-AFCE-4A9DE38764CE}"/>
            </c:ext>
          </c:extLst>
        </c:ser>
        <c:dLbls>
          <c:showLegendKey val="0"/>
          <c:showVal val="0"/>
          <c:showCatName val="0"/>
          <c:showSerName val="0"/>
          <c:showPercent val="0"/>
          <c:showBubbleSize val="0"/>
        </c:dLbls>
        <c:smooth val="0"/>
        <c:axId val="1934629152"/>
        <c:axId val="1"/>
      </c:lineChart>
      <c:catAx>
        <c:axId val="1934629152"/>
        <c:scaling>
          <c:orientation val="minMax"/>
        </c:scaling>
        <c:delete val="0"/>
        <c:axPos val="b"/>
        <c:minorGridlines/>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fi-FI"/>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fi-FI"/>
          </a:p>
        </c:txPr>
        <c:crossAx val="1934629152"/>
        <c:crosses val="autoZero"/>
        <c:crossBetween val="midCat"/>
      </c:valAx>
    </c:plotArea>
    <c:legend>
      <c:legendPos val="r"/>
      <c:layout>
        <c:manualLayout>
          <c:xMode val="edge"/>
          <c:yMode val="edge"/>
          <c:x val="0.53384501442270216"/>
          <c:y val="0.1069802379420639"/>
          <c:w val="0.42410566253475734"/>
          <c:h val="0.37326785245054955"/>
        </c:manualLayout>
      </c:layout>
      <c:overlay val="1"/>
      <c:txPr>
        <a:bodyPr/>
        <a:lstStyle/>
        <a:p>
          <a:pPr>
            <a:defRPr sz="1180" b="0" i="0" u="none" strike="noStrike" baseline="0">
              <a:solidFill>
                <a:srgbClr val="000000"/>
              </a:solidFill>
              <a:latin typeface="Calibri"/>
              <a:ea typeface="Calibri"/>
              <a:cs typeface="Calibri"/>
            </a:defRPr>
          </a:pPr>
          <a:endParaRPr lang="fi-FI"/>
        </a:p>
      </c:txPr>
    </c:legend>
    <c:plotVisOnly val="1"/>
    <c:dispBlanksAs val="gap"/>
    <c:showDLblsOverMax val="0"/>
  </c:chart>
  <c:spPr>
    <a:solidFill>
      <a:srgbClr val="FFFF00"/>
    </a:solidFill>
  </c:spPr>
  <c:txPr>
    <a:bodyPr/>
    <a:lstStyle/>
    <a:p>
      <a:pPr>
        <a:defRPr sz="10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80" b="1" i="0" u="none" strike="noStrike" baseline="0">
                <a:solidFill>
                  <a:srgbClr val="000000"/>
                </a:solidFill>
                <a:latin typeface="Calibri"/>
                <a:ea typeface="Calibri"/>
                <a:cs typeface="Calibri"/>
              </a:defRPr>
            </a:pPr>
            <a:r>
              <a:rPr lang="fi-FI"/>
              <a:t>Kuva 50/2. S1-luokan väestönsuojan lopullinen neliöhinta, 1/2020 </a:t>
            </a:r>
          </a:p>
        </c:rich>
      </c:tx>
      <c:overlay val="0"/>
    </c:title>
    <c:autoTitleDeleted val="0"/>
    <c:plotArea>
      <c:layout/>
      <c:lineChart>
        <c:grouping val="standard"/>
        <c:varyColors val="0"/>
        <c:ser>
          <c:idx val="0"/>
          <c:order val="0"/>
          <c:marker>
            <c:symbol val="none"/>
          </c:marker>
          <c:dLbls>
            <c:dLbl>
              <c:idx val="0"/>
              <c:layout>
                <c:manualLayout>
                  <c:x val="-9.8485810939884979E-3"/>
                  <c:y val="-3.6670822841690216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7C-42BB-829A-3F755AC1852E}"/>
                </c:ext>
              </c:extLst>
            </c:dLbl>
            <c:dLbl>
              <c:idx val="1"/>
              <c:layout>
                <c:manualLayout>
                  <c:x val="-2.0153523942705909E-2"/>
                  <c:y val="-7.0286639059865735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7C-42BB-829A-3F755AC1852E}"/>
                </c:ext>
              </c:extLst>
            </c:dLbl>
            <c:dLbl>
              <c:idx val="6"/>
              <c:layout>
                <c:manualLayout>
                  <c:x val="-2.667519654736878E-2"/>
                  <c:y val="-4.853522856575216E-2"/>
                </c:manualLayout>
              </c:layout>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7C-42BB-829A-3F755AC1852E}"/>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'VERTAILU PEKKA'!$AJ$19:$AJ$25</c:f>
              <c:strCache>
                <c:ptCount val="7"/>
                <c:pt idx="0">
                  <c:v>20 m2  </c:v>
                </c:pt>
                <c:pt idx="1">
                  <c:v>45 m2  </c:v>
                </c:pt>
                <c:pt idx="2">
                  <c:v>46 m2  </c:v>
                </c:pt>
                <c:pt idx="3">
                  <c:v>66 m2  </c:v>
                </c:pt>
                <c:pt idx="4">
                  <c:v>90 m2  </c:v>
                </c:pt>
                <c:pt idx="5">
                  <c:v>91 m2  </c:v>
                </c:pt>
                <c:pt idx="6">
                  <c:v>135 m2  </c:v>
                </c:pt>
              </c:strCache>
            </c:strRef>
          </c:cat>
          <c:val>
            <c:numRef>
              <c:f>'VERTAILU PEKKA'!$AM$19:$AM$25</c:f>
              <c:numCache>
                <c:formatCode>0</c:formatCode>
                <c:ptCount val="7"/>
                <c:pt idx="0">
                  <c:v>3199.2400000000002</c:v>
                </c:pt>
                <c:pt idx="1">
                  <c:v>2096.6888888888889</c:v>
                </c:pt>
                <c:pt idx="2">
                  <c:v>2239.4256038647345</c:v>
                </c:pt>
                <c:pt idx="3">
                  <c:v>1945.9868686868685</c:v>
                </c:pt>
                <c:pt idx="4">
                  <c:v>1790.8333333333333</c:v>
                </c:pt>
                <c:pt idx="5">
                  <c:v>1863.37557997558</c:v>
                </c:pt>
                <c:pt idx="6">
                  <c:v>1602.8666666666666</c:v>
                </c:pt>
              </c:numCache>
            </c:numRef>
          </c:val>
          <c:smooth val="0"/>
          <c:extLst>
            <c:ext xmlns:c16="http://schemas.microsoft.com/office/drawing/2014/chart" uri="{C3380CC4-5D6E-409C-BE32-E72D297353CC}">
              <c16:uniqueId val="{00000003-387C-42BB-829A-3F755AC1852E}"/>
            </c:ext>
          </c:extLst>
        </c:ser>
        <c:dLbls>
          <c:showLegendKey val="0"/>
          <c:showVal val="0"/>
          <c:showCatName val="0"/>
          <c:showSerName val="0"/>
          <c:showPercent val="0"/>
          <c:showBubbleSize val="0"/>
        </c:dLbls>
        <c:smooth val="0"/>
        <c:axId val="1934650752"/>
        <c:axId val="1"/>
      </c:lineChart>
      <c:catAx>
        <c:axId val="1934650752"/>
        <c:scaling>
          <c:orientation val="minMax"/>
        </c:scaling>
        <c:delete val="0"/>
        <c:axPos val="b"/>
        <c:majorGridlines/>
        <c:minorGridlines/>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fi-FI"/>
          </a:p>
        </c:txPr>
        <c:crossAx val="1"/>
        <c:crosses val="autoZero"/>
        <c:auto val="1"/>
        <c:lblAlgn val="ctr"/>
        <c:lblOffset val="100"/>
        <c:noMultiLvlLbl val="0"/>
      </c:catAx>
      <c:valAx>
        <c:axId val="1"/>
        <c:scaling>
          <c:orientation val="minMax"/>
          <c:min val="1600"/>
        </c:scaling>
        <c:delete val="0"/>
        <c:axPos val="l"/>
        <c:majorGridlines/>
        <c:numFmt formatCode="0"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fi-FI"/>
          </a:p>
        </c:txPr>
        <c:crossAx val="1934650752"/>
        <c:crosses val="autoZero"/>
        <c:crossBetween val="midCat"/>
      </c:valAx>
    </c:plotArea>
    <c:plotVisOnly val="1"/>
    <c:dispBlanksAs val="gap"/>
    <c:showDLblsOverMax val="0"/>
  </c:chart>
  <c:spPr>
    <a:solidFill>
      <a:srgbClr val="99FF99"/>
    </a:solidFill>
  </c:spPr>
  <c:txPr>
    <a:bodyPr/>
    <a:lstStyle/>
    <a:p>
      <a:pPr>
        <a:defRPr sz="14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fi-FI" sz="1800" b="1" i="0" u="none" strike="noStrike" baseline="0">
                <a:solidFill>
                  <a:srgbClr val="000000"/>
                </a:solidFill>
                <a:latin typeface="Calibri"/>
                <a:cs typeface="Calibri"/>
              </a:rPr>
              <a:t>Kuva 24. Rungon A, lopullinen hinta/m</a:t>
            </a:r>
            <a:r>
              <a:rPr lang="fi-FI" sz="1800" b="1" i="0" u="none" strike="noStrike" baseline="30000">
                <a:solidFill>
                  <a:srgbClr val="000000"/>
                </a:solidFill>
                <a:latin typeface="Calibri"/>
                <a:cs typeface="Calibri"/>
              </a:rPr>
              <a:t>2</a:t>
            </a:r>
            <a:r>
              <a:rPr lang="fi-FI" sz="1800" b="1" i="0" u="none" strike="noStrike" baseline="0">
                <a:solidFill>
                  <a:srgbClr val="000000"/>
                </a:solidFill>
                <a:latin typeface="Calibri"/>
                <a:cs typeface="Calibri"/>
              </a:rPr>
              <a:t>; perustukset, seinät, katto, lattia ja suojan yläpuoli  1/2020</a:t>
            </a:r>
          </a:p>
        </c:rich>
      </c:tx>
      <c:layout>
        <c:manualLayout>
          <c:xMode val="edge"/>
          <c:yMode val="edge"/>
          <c:x val="7.2288810762123373E-2"/>
          <c:y val="1.526809148856393E-2"/>
        </c:manualLayout>
      </c:layout>
      <c:overlay val="0"/>
    </c:title>
    <c:autoTitleDeleted val="0"/>
    <c:plotArea>
      <c:layout/>
      <c:lineChart>
        <c:grouping val="standard"/>
        <c:varyColors val="0"/>
        <c:ser>
          <c:idx val="0"/>
          <c:order val="0"/>
          <c:spPr>
            <a:ln w="28575">
              <a:solidFill>
                <a:srgbClr val="FF0000"/>
              </a:solidFill>
            </a:ln>
          </c:spPr>
          <c:marker>
            <c:symbol val="none"/>
          </c:marker>
          <c:dLbls>
            <c:dLbl>
              <c:idx val="0"/>
              <c:layout>
                <c:manualLayout>
                  <c:x val="1.4401143636113257E-3"/>
                  <c:y val="-2.674917281429352E-2"/>
                </c:manualLayout>
              </c:layout>
              <c:spPr>
                <a:noFill/>
                <a:ln w="25400">
                  <a:noFill/>
                </a:ln>
              </c:spPr>
              <c:txPr>
                <a:bodyPr/>
                <a:lstStyle/>
                <a:p>
                  <a:pPr>
                    <a:defRPr sz="16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AA-4890-9D6E-D8785D2DCD41}"/>
                </c:ext>
              </c:extLst>
            </c:dLbl>
            <c:dLbl>
              <c:idx val="1"/>
              <c:layout>
                <c:manualLayout>
                  <c:x val="-2.087762333671829E-2"/>
                  <c:y val="-4.0013740429067315E-2"/>
                </c:manualLayout>
              </c:layout>
              <c:spPr>
                <a:noFill/>
                <a:ln w="25400">
                  <a:noFill/>
                </a:ln>
              </c:spPr>
              <c:txPr>
                <a:bodyPr/>
                <a:lstStyle/>
                <a:p>
                  <a:pPr>
                    <a:defRPr sz="16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AA-4890-9D6E-D8785D2DCD41}"/>
                </c:ext>
              </c:extLst>
            </c:dLbl>
            <c:dLbl>
              <c:idx val="3"/>
              <c:layout>
                <c:manualLayout>
                  <c:x val="-5.7530549523178369E-2"/>
                  <c:y val="-5.3331355124904625E-2"/>
                </c:manualLayout>
              </c:layout>
              <c:spPr>
                <a:noFill/>
                <a:ln w="25400">
                  <a:noFill/>
                </a:ln>
              </c:spPr>
              <c:txPr>
                <a:bodyPr/>
                <a:lstStyle/>
                <a:p>
                  <a:pPr>
                    <a:defRPr sz="16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AA-4890-9D6E-D8785D2DCD41}"/>
                </c:ext>
              </c:extLst>
            </c:dLbl>
            <c:spPr>
              <a:noFill/>
              <a:ln w="25400">
                <a:noFill/>
              </a:ln>
            </c:spPr>
            <c:txPr>
              <a:bodyPr wrap="square" lIns="38100" tIns="19050" rIns="38100" bIns="19050" anchor="ctr">
                <a:spAutoFit/>
              </a:bodyPr>
              <a:lstStyle/>
              <a:p>
                <a:pPr>
                  <a:defRPr sz="16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'VERTAILU PEKKA'!$BT$6:$BT$9</c:f>
              <c:strCache>
                <c:ptCount val="4"/>
                <c:pt idx="0">
                  <c:v>20 m2  </c:v>
                </c:pt>
                <c:pt idx="1">
                  <c:v>45 m2  </c:v>
                </c:pt>
                <c:pt idx="2">
                  <c:v>90 m2  </c:v>
                </c:pt>
                <c:pt idx="3">
                  <c:v>135 m2  </c:v>
                </c:pt>
              </c:strCache>
            </c:strRef>
          </c:cat>
          <c:val>
            <c:numRef>
              <c:f>'VERTAILU PEKKA'!$CB$6:$CB$9</c:f>
              <c:numCache>
                <c:formatCode>#,##0</c:formatCode>
                <c:ptCount val="4"/>
                <c:pt idx="0">
                  <c:v>1270</c:v>
                </c:pt>
                <c:pt idx="1">
                  <c:v>894.26666666666665</c:v>
                </c:pt>
                <c:pt idx="2">
                  <c:v>779.02222222222224</c:v>
                </c:pt>
                <c:pt idx="3">
                  <c:v>666.57777777777778</c:v>
                </c:pt>
              </c:numCache>
            </c:numRef>
          </c:val>
          <c:smooth val="0"/>
          <c:extLst>
            <c:ext xmlns:c16="http://schemas.microsoft.com/office/drawing/2014/chart" uri="{C3380CC4-5D6E-409C-BE32-E72D297353CC}">
              <c16:uniqueId val="{00000003-10AA-4890-9D6E-D8785D2DCD41}"/>
            </c:ext>
          </c:extLst>
        </c:ser>
        <c:dLbls>
          <c:showLegendKey val="0"/>
          <c:showVal val="0"/>
          <c:showCatName val="0"/>
          <c:showSerName val="0"/>
          <c:showPercent val="0"/>
          <c:showBubbleSize val="0"/>
        </c:dLbls>
        <c:smooth val="0"/>
        <c:axId val="1934648352"/>
        <c:axId val="1"/>
      </c:lineChart>
      <c:catAx>
        <c:axId val="1934648352"/>
        <c:scaling>
          <c:orientation val="minMax"/>
        </c:scaling>
        <c:delete val="0"/>
        <c:axPos val="b"/>
        <c:majorGridlines/>
        <c:minorGridlines>
          <c:spPr>
            <a:ln w="6350" cap="flat" cmpd="sng" algn="ctr">
              <a:solidFill>
                <a:schemeClr val="dk1"/>
              </a:solidFill>
              <a:prstDash val="solid"/>
              <a:miter lim="800000"/>
            </a:ln>
            <a:effectLst/>
          </c:spPr>
        </c:minorGridlines>
        <c:numFmt formatCode="General" sourceLinked="1"/>
        <c:majorTickMark val="out"/>
        <c:minorTickMark val="none"/>
        <c:tickLblPos val="nextTo"/>
        <c:txPr>
          <a:bodyPr rot="0" vert="horz"/>
          <a:lstStyle/>
          <a:p>
            <a:pPr>
              <a:defRPr sz="1400" b="0" i="0" u="none" strike="noStrike" baseline="0">
                <a:solidFill>
                  <a:srgbClr val="000000"/>
                </a:solidFill>
                <a:latin typeface="Calibri"/>
                <a:ea typeface="Calibri"/>
                <a:cs typeface="Calibri"/>
              </a:defRPr>
            </a:pPr>
            <a:endParaRPr lang="fi-FI"/>
          </a:p>
        </c:txPr>
        <c:crossAx val="1"/>
        <c:crosses val="autoZero"/>
        <c:auto val="1"/>
        <c:lblAlgn val="ctr"/>
        <c:lblOffset val="100"/>
        <c:noMultiLvlLbl val="0"/>
      </c:catAx>
      <c:valAx>
        <c:axId val="1"/>
        <c:scaling>
          <c:orientation val="minMax"/>
          <c:max val="1350"/>
          <c:min val="650"/>
        </c:scaling>
        <c:delete val="0"/>
        <c:axPos val="l"/>
        <c:majorGridlines/>
        <c:numFmt formatCode="#,##0" sourceLinked="1"/>
        <c:majorTickMark val="out"/>
        <c:minorTickMark val="none"/>
        <c:tickLblPos val="nextTo"/>
        <c:txPr>
          <a:bodyPr rot="0" vert="horz"/>
          <a:lstStyle/>
          <a:p>
            <a:pPr>
              <a:defRPr sz="1400" b="0" i="0" u="none" strike="noStrike" baseline="0">
                <a:solidFill>
                  <a:srgbClr val="000000"/>
                </a:solidFill>
                <a:latin typeface="Calibri"/>
                <a:ea typeface="Calibri"/>
                <a:cs typeface="Calibri"/>
              </a:defRPr>
            </a:pPr>
            <a:endParaRPr lang="fi-FI"/>
          </a:p>
        </c:txPr>
        <c:crossAx val="1934648352"/>
        <c:crosses val="autoZero"/>
        <c:crossBetween val="midCat"/>
      </c:valAx>
    </c:plotArea>
    <c:plotVisOnly val="1"/>
    <c:dispBlanksAs val="gap"/>
    <c:showDLblsOverMax val="0"/>
  </c:chart>
  <c:spPr>
    <a:solidFill>
      <a:srgbClr val="FFCC99"/>
    </a:solidFill>
  </c:spPr>
  <c:txPr>
    <a:bodyPr/>
    <a:lstStyle/>
    <a:p>
      <a:pPr>
        <a:defRPr sz="10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fi-FI" sz="2000" b="0" i="0" u="none" strike="noStrike" baseline="0">
                <a:solidFill>
                  <a:srgbClr val="000000"/>
                </a:solidFill>
                <a:latin typeface="Arial"/>
                <a:cs typeface="Arial"/>
              </a:rPr>
              <a:t>Kuva 45/2. S1-luokka 90 m</a:t>
            </a:r>
            <a:r>
              <a:rPr lang="fi-FI" sz="2000" b="0" i="0" u="none" strike="noStrike" baseline="30000">
                <a:solidFill>
                  <a:srgbClr val="000000"/>
                </a:solidFill>
                <a:latin typeface="Arial"/>
                <a:cs typeface="Arial"/>
              </a:rPr>
              <a:t>2</a:t>
            </a:r>
            <a:r>
              <a:rPr lang="fi-FI" sz="2000" b="0" i="0" u="none" strike="noStrike" baseline="0">
                <a:solidFill>
                  <a:srgbClr val="000000"/>
                </a:solidFill>
                <a:latin typeface="Arial"/>
                <a:cs typeface="Arial"/>
              </a:rPr>
              <a:t>, laitteet ja varusteet kustannusten jakauma %, 1/2020 </a:t>
            </a:r>
          </a:p>
        </c:rich>
      </c:tx>
      <c:overlay val="0"/>
    </c:title>
    <c:autoTitleDeleted val="0"/>
    <c:plotArea>
      <c:layout/>
      <c:doughnutChart>
        <c:varyColors val="1"/>
        <c:ser>
          <c:idx val="0"/>
          <c:order val="0"/>
          <c:dPt>
            <c:idx val="0"/>
            <c:bubble3D val="0"/>
            <c:extLst>
              <c:ext xmlns:c16="http://schemas.microsoft.com/office/drawing/2014/chart" uri="{C3380CC4-5D6E-409C-BE32-E72D297353CC}">
                <c16:uniqueId val="{00000000-4187-4F95-ADCC-70E08150AF44}"/>
              </c:ext>
            </c:extLst>
          </c:dPt>
          <c:dPt>
            <c:idx val="1"/>
            <c:bubble3D val="0"/>
            <c:extLst>
              <c:ext xmlns:c16="http://schemas.microsoft.com/office/drawing/2014/chart" uri="{C3380CC4-5D6E-409C-BE32-E72D297353CC}">
                <c16:uniqueId val="{00000001-4187-4F95-ADCC-70E08150AF44}"/>
              </c:ext>
            </c:extLst>
          </c:dPt>
          <c:dPt>
            <c:idx val="2"/>
            <c:bubble3D val="0"/>
            <c:extLst>
              <c:ext xmlns:c16="http://schemas.microsoft.com/office/drawing/2014/chart" uri="{C3380CC4-5D6E-409C-BE32-E72D297353CC}">
                <c16:uniqueId val="{00000002-4187-4F95-ADCC-70E08150AF44}"/>
              </c:ext>
            </c:extLst>
          </c:dPt>
          <c:dPt>
            <c:idx val="3"/>
            <c:bubble3D val="0"/>
            <c:extLst>
              <c:ext xmlns:c16="http://schemas.microsoft.com/office/drawing/2014/chart" uri="{C3380CC4-5D6E-409C-BE32-E72D297353CC}">
                <c16:uniqueId val="{00000003-4187-4F95-ADCC-70E08150AF44}"/>
              </c:ext>
            </c:extLst>
          </c:dPt>
          <c:dPt>
            <c:idx val="4"/>
            <c:bubble3D val="0"/>
            <c:extLst>
              <c:ext xmlns:c16="http://schemas.microsoft.com/office/drawing/2014/chart" uri="{C3380CC4-5D6E-409C-BE32-E72D297353CC}">
                <c16:uniqueId val="{00000004-4187-4F95-ADCC-70E08150AF44}"/>
              </c:ext>
            </c:extLst>
          </c:dPt>
          <c:dPt>
            <c:idx val="5"/>
            <c:bubble3D val="0"/>
            <c:extLst>
              <c:ext xmlns:c16="http://schemas.microsoft.com/office/drawing/2014/chart" uri="{C3380CC4-5D6E-409C-BE32-E72D297353CC}">
                <c16:uniqueId val="{00000005-4187-4F95-ADCC-70E08150AF44}"/>
              </c:ext>
            </c:extLst>
          </c:dPt>
          <c:dPt>
            <c:idx val="6"/>
            <c:bubble3D val="0"/>
            <c:extLst>
              <c:ext xmlns:c16="http://schemas.microsoft.com/office/drawing/2014/chart" uri="{C3380CC4-5D6E-409C-BE32-E72D297353CC}">
                <c16:uniqueId val="{00000006-4187-4F95-ADCC-70E08150AF44}"/>
              </c:ext>
            </c:extLst>
          </c:dPt>
          <c:dPt>
            <c:idx val="7"/>
            <c:bubble3D val="0"/>
            <c:extLst>
              <c:ext xmlns:c16="http://schemas.microsoft.com/office/drawing/2014/chart" uri="{C3380CC4-5D6E-409C-BE32-E72D297353CC}">
                <c16:uniqueId val="{00000007-4187-4F95-ADCC-70E08150AF44}"/>
              </c:ext>
            </c:extLst>
          </c:dPt>
          <c:dPt>
            <c:idx val="8"/>
            <c:bubble3D val="0"/>
            <c:extLst>
              <c:ext xmlns:c16="http://schemas.microsoft.com/office/drawing/2014/chart" uri="{C3380CC4-5D6E-409C-BE32-E72D297353CC}">
                <c16:uniqueId val="{00000008-4187-4F95-ADCC-70E08150AF44}"/>
              </c:ext>
            </c:extLst>
          </c:dPt>
          <c:dLbls>
            <c:spPr>
              <a:noFill/>
              <a:ln w="25400">
                <a:noFill/>
              </a:ln>
            </c:spPr>
            <c:txPr>
              <a:bodyPr wrap="square" lIns="38100" tIns="19050" rIns="38100" bIns="19050" anchor="ctr">
                <a:spAutoFit/>
              </a:bodyPr>
              <a:lstStyle/>
              <a:p>
                <a:pPr>
                  <a:defRPr sz="2000" b="0" i="0" u="none" strike="noStrike" baseline="0">
                    <a:solidFill>
                      <a:srgbClr val="000000"/>
                    </a:solidFill>
                    <a:latin typeface="Calibri"/>
                    <a:ea typeface="Calibri"/>
                    <a:cs typeface="Calibri"/>
                  </a:defRPr>
                </a:pPr>
                <a:endParaRPr lang="fi-FI"/>
              </a:p>
            </c:txPr>
            <c:showLegendKey val="0"/>
            <c:showVal val="0"/>
            <c:showCatName val="0"/>
            <c:showSerName val="0"/>
            <c:showPercent val="1"/>
            <c:showBubbleSize val="0"/>
            <c:showLeaderLines val="0"/>
            <c:extLst>
              <c:ext xmlns:c15="http://schemas.microsoft.com/office/drawing/2012/chart" uri="{CE6537A1-D6FC-4f65-9D91-7224C49458BB}"/>
            </c:extLst>
          </c:dLbls>
          <c:cat>
            <c:strRef>
              <c:f>LAITTEET!$I$171:$I$179</c:f>
              <c:strCache>
                <c:ptCount val="9"/>
                <c:pt idx="0">
                  <c:v>Suojaovi SO-1</c:v>
                </c:pt>
                <c:pt idx="1">
                  <c:v>Luukku HS-1s</c:v>
                </c:pt>
                <c:pt idx="2">
                  <c:v>Läpiviennit</c:v>
                </c:pt>
                <c:pt idx="3">
                  <c:v>IVL-laite</c:v>
                </c:pt>
                <c:pt idx="4">
                  <c:v>Vesi</c:v>
                </c:pt>
                <c:pt idx="5">
                  <c:v>Jätesäiliö</c:v>
                </c:pt>
                <c:pt idx="6">
                  <c:v>Käymälät</c:v>
                </c:pt>
                <c:pt idx="7">
                  <c:v>Sulkuteltta</c:v>
                </c:pt>
                <c:pt idx="8">
                  <c:v>Materiaali</c:v>
                </c:pt>
              </c:strCache>
            </c:strRef>
          </c:cat>
          <c:val>
            <c:numRef>
              <c:f>LAITTEET!$J$171:$J$179</c:f>
              <c:numCache>
                <c:formatCode>General</c:formatCode>
                <c:ptCount val="9"/>
                <c:pt idx="0">
                  <c:v>1384</c:v>
                </c:pt>
                <c:pt idx="1">
                  <c:v>647</c:v>
                </c:pt>
                <c:pt idx="2">
                  <c:v>1290</c:v>
                </c:pt>
                <c:pt idx="3">
                  <c:v>14063</c:v>
                </c:pt>
                <c:pt idx="4">
                  <c:v>519</c:v>
                </c:pt>
                <c:pt idx="5">
                  <c:v>980</c:v>
                </c:pt>
                <c:pt idx="6">
                  <c:v>1873</c:v>
                </c:pt>
                <c:pt idx="7">
                  <c:v>651</c:v>
                </c:pt>
                <c:pt idx="8">
                  <c:v>2097</c:v>
                </c:pt>
              </c:numCache>
            </c:numRef>
          </c:val>
          <c:extLst>
            <c:ext xmlns:c16="http://schemas.microsoft.com/office/drawing/2014/chart" uri="{C3380CC4-5D6E-409C-BE32-E72D297353CC}">
              <c16:uniqueId val="{00000009-4187-4F95-ADCC-70E08150AF44}"/>
            </c:ext>
          </c:extLst>
        </c:ser>
        <c:dLbls>
          <c:showLegendKey val="0"/>
          <c:showVal val="0"/>
          <c:showCatName val="0"/>
          <c:showSerName val="0"/>
          <c:showPercent val="0"/>
          <c:showBubbleSize val="0"/>
          <c:showLeaderLines val="0"/>
        </c:dLbls>
        <c:firstSliceAng val="0"/>
        <c:holeSize val="50"/>
      </c:doughnutChart>
      <c:spPr>
        <a:noFill/>
        <a:ln w="25400">
          <a:noFill/>
        </a:ln>
      </c:spPr>
    </c:plotArea>
    <c:legend>
      <c:legendPos val="r"/>
      <c:layout>
        <c:manualLayout>
          <c:xMode val="edge"/>
          <c:yMode val="edge"/>
          <c:x val="0.7164451519806917"/>
          <c:y val="0.24711874457023872"/>
          <c:w val="0.21831983881816033"/>
          <c:h val="0.52001613414785497"/>
        </c:manualLayout>
      </c:layout>
      <c:overlay val="0"/>
      <c:txPr>
        <a:bodyPr/>
        <a:lstStyle/>
        <a:p>
          <a:pPr>
            <a:defRPr sz="1520" b="0" i="0" u="none" strike="noStrike" baseline="0">
              <a:solidFill>
                <a:srgbClr val="000000"/>
              </a:solidFill>
              <a:latin typeface="Calibri"/>
              <a:ea typeface="Calibri"/>
              <a:cs typeface="Calibri"/>
            </a:defRPr>
          </a:pPr>
          <a:endParaRPr lang="fi-FI"/>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fi-FI" sz="1800" b="1" i="0" u="none" strike="noStrike" baseline="0">
                <a:solidFill>
                  <a:srgbClr val="000000"/>
                </a:solidFill>
                <a:latin typeface="Calibri"/>
                <a:cs typeface="Calibri"/>
              </a:rPr>
              <a:t>Kuva 14. S1-luokka 20 m</a:t>
            </a:r>
            <a:r>
              <a:rPr lang="fi-FI" sz="1800" b="1" i="0" u="none" strike="noStrike" baseline="30000">
                <a:solidFill>
                  <a:srgbClr val="000000"/>
                </a:solidFill>
                <a:latin typeface="Calibri"/>
                <a:cs typeface="Calibri"/>
              </a:rPr>
              <a:t>2</a:t>
            </a:r>
            <a:r>
              <a:rPr lang="fi-FI" sz="1800" b="1" i="0" u="none" strike="noStrike" baseline="0">
                <a:solidFill>
                  <a:srgbClr val="000000"/>
                </a:solidFill>
                <a:latin typeface="Calibri"/>
                <a:cs typeface="Calibri"/>
              </a:rPr>
              <a:t>, kustannusten jakauma  1/2020</a:t>
            </a:r>
          </a:p>
        </c:rich>
      </c:tx>
      <c:overlay val="0"/>
    </c:title>
    <c:autoTitleDeleted val="0"/>
    <c:plotArea>
      <c:layout/>
      <c:doughnutChart>
        <c:varyColors val="1"/>
        <c:ser>
          <c:idx val="0"/>
          <c:order val="0"/>
          <c:dPt>
            <c:idx val="0"/>
            <c:bubble3D val="0"/>
            <c:extLst>
              <c:ext xmlns:c16="http://schemas.microsoft.com/office/drawing/2014/chart" uri="{C3380CC4-5D6E-409C-BE32-E72D297353CC}">
                <c16:uniqueId val="{00000000-E69D-43FF-880A-2FBB455DE114}"/>
              </c:ext>
            </c:extLst>
          </c:dPt>
          <c:dPt>
            <c:idx val="1"/>
            <c:bubble3D val="0"/>
            <c:extLst>
              <c:ext xmlns:c16="http://schemas.microsoft.com/office/drawing/2014/chart" uri="{C3380CC4-5D6E-409C-BE32-E72D297353CC}">
                <c16:uniqueId val="{00000001-E69D-43FF-880A-2FBB455DE114}"/>
              </c:ext>
            </c:extLst>
          </c:dPt>
          <c:dPt>
            <c:idx val="2"/>
            <c:bubble3D val="0"/>
            <c:extLst>
              <c:ext xmlns:c16="http://schemas.microsoft.com/office/drawing/2014/chart" uri="{C3380CC4-5D6E-409C-BE32-E72D297353CC}">
                <c16:uniqueId val="{00000002-E69D-43FF-880A-2FBB455DE114}"/>
              </c:ext>
            </c:extLst>
          </c:dPt>
          <c:dPt>
            <c:idx val="3"/>
            <c:bubble3D val="0"/>
            <c:extLst>
              <c:ext xmlns:c16="http://schemas.microsoft.com/office/drawing/2014/chart" uri="{C3380CC4-5D6E-409C-BE32-E72D297353CC}">
                <c16:uniqueId val="{00000003-E69D-43FF-880A-2FBB455DE114}"/>
              </c:ext>
            </c:extLst>
          </c:dPt>
          <c:dPt>
            <c:idx val="4"/>
            <c:bubble3D val="0"/>
            <c:extLst>
              <c:ext xmlns:c16="http://schemas.microsoft.com/office/drawing/2014/chart" uri="{C3380CC4-5D6E-409C-BE32-E72D297353CC}">
                <c16:uniqueId val="{00000004-E69D-43FF-880A-2FBB455DE114}"/>
              </c:ext>
            </c:extLst>
          </c:dPt>
          <c:dPt>
            <c:idx val="5"/>
            <c:bubble3D val="0"/>
            <c:extLst>
              <c:ext xmlns:c16="http://schemas.microsoft.com/office/drawing/2014/chart" uri="{C3380CC4-5D6E-409C-BE32-E72D297353CC}">
                <c16:uniqueId val="{00000005-E69D-43FF-880A-2FBB455DE114}"/>
              </c:ext>
            </c:extLst>
          </c:dPt>
          <c:dLbls>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showLegendKey val="0"/>
            <c:showVal val="0"/>
            <c:showCatName val="0"/>
            <c:showSerName val="0"/>
            <c:showPercent val="1"/>
            <c:showBubbleSize val="0"/>
            <c:showLeaderLines val="0"/>
            <c:extLst>
              <c:ext xmlns:c15="http://schemas.microsoft.com/office/drawing/2012/chart" uri="{CE6537A1-D6FC-4f65-9D91-7224C49458BB}"/>
            </c:extLst>
          </c:dLbls>
          <c:cat>
            <c:strRef>
              <c:f>'VERTAILU PEKKA'!$T$5:$T$10</c:f>
              <c:strCache>
                <c:ptCount val="6"/>
                <c:pt idx="0">
                  <c:v>Suunnittelu, rakennuttaminen ja liittymismaksut</c:v>
                </c:pt>
                <c:pt idx="1">
                  <c:v>Rakennuksen maatyöt</c:v>
                </c:pt>
                <c:pt idx="2">
                  <c:v>Perustukset, runko ja sisäpuoliset pintarakenteet</c:v>
                </c:pt>
                <c:pt idx="3">
                  <c:v>Kalusteet, varusteet ja laitteet</c:v>
                </c:pt>
                <c:pt idx="4">
                  <c:v>Käyttö, yleiskulut, kate ja nousuvaraus</c:v>
                </c:pt>
                <c:pt idx="5">
                  <c:v>LVI ja sähkö</c:v>
                </c:pt>
              </c:strCache>
            </c:strRef>
          </c:cat>
          <c:val>
            <c:numRef>
              <c:f>'VERTAILU PEKKA'!$U$5:$U$10</c:f>
              <c:numCache>
                <c:formatCode>#,##0</c:formatCode>
                <c:ptCount val="6"/>
                <c:pt idx="0">
                  <c:v>6970</c:v>
                </c:pt>
                <c:pt idx="1">
                  <c:v>2662</c:v>
                </c:pt>
                <c:pt idx="2">
                  <c:v>27898.799999999999</c:v>
                </c:pt>
                <c:pt idx="3">
                  <c:v>12507</c:v>
                </c:pt>
                <c:pt idx="4">
                  <c:v>8900</c:v>
                </c:pt>
                <c:pt idx="5">
                  <c:v>5047</c:v>
                </c:pt>
              </c:numCache>
            </c:numRef>
          </c:val>
          <c:extLst>
            <c:ext xmlns:c16="http://schemas.microsoft.com/office/drawing/2014/chart" uri="{C3380CC4-5D6E-409C-BE32-E72D297353CC}">
              <c16:uniqueId val="{00000006-E69D-43FF-880A-2FBB455DE114}"/>
            </c:ext>
          </c:extLst>
        </c:ser>
        <c:dLbls>
          <c:showLegendKey val="0"/>
          <c:showVal val="0"/>
          <c:showCatName val="0"/>
          <c:showSerName val="0"/>
          <c:showPercent val="0"/>
          <c:showBubbleSize val="0"/>
          <c:showLeaderLines val="0"/>
        </c:dLbls>
        <c:firstSliceAng val="0"/>
        <c:holeSize val="50"/>
      </c:doughnutChart>
      <c:spPr>
        <a:noFill/>
        <a:ln w="25400">
          <a:noFill/>
        </a:ln>
      </c:spPr>
    </c:plotArea>
    <c:legend>
      <c:legendPos val="r"/>
      <c:layout>
        <c:manualLayout>
          <c:xMode val="edge"/>
          <c:yMode val="edge"/>
          <c:x val="0.64530496859437592"/>
          <c:y val="0.23513893407952105"/>
          <c:w val="0.30931934545603068"/>
          <c:h val="0.64040758334960202"/>
        </c:manualLayout>
      </c:layout>
      <c:overlay val="0"/>
      <c:txPr>
        <a:bodyPr/>
        <a:lstStyle/>
        <a:p>
          <a:pPr>
            <a:defRPr sz="1180" b="0" i="0" u="none" strike="noStrike" baseline="0">
              <a:solidFill>
                <a:srgbClr val="000000"/>
              </a:solidFill>
              <a:latin typeface="Calibri"/>
              <a:ea typeface="Calibri"/>
              <a:cs typeface="Calibri"/>
            </a:defRPr>
          </a:pPr>
          <a:endParaRPr lang="fi-FI"/>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fi-FI" sz="2000" b="1" i="0" u="none" strike="noStrike" baseline="0">
                <a:solidFill>
                  <a:srgbClr val="000000"/>
                </a:solidFill>
                <a:latin typeface="Calibri"/>
                <a:cs typeface="Calibri"/>
              </a:rPr>
              <a:t>Kuva 39/2. S1-luokka 90 m</a:t>
            </a:r>
            <a:r>
              <a:rPr lang="fi-FI" sz="2000" b="1" i="0" u="none" strike="noStrike" baseline="30000">
                <a:solidFill>
                  <a:srgbClr val="000000"/>
                </a:solidFill>
                <a:latin typeface="Calibri"/>
                <a:cs typeface="Calibri"/>
              </a:rPr>
              <a:t>2</a:t>
            </a:r>
            <a:r>
              <a:rPr lang="fi-FI" sz="2000" b="1" i="0" u="none" strike="noStrike" baseline="0">
                <a:solidFill>
                  <a:srgbClr val="000000"/>
                </a:solidFill>
                <a:latin typeface="Calibri"/>
                <a:cs typeface="Calibri"/>
              </a:rPr>
              <a:t>, kustannusten jakauma 1/2020</a:t>
            </a:r>
          </a:p>
        </c:rich>
      </c:tx>
      <c:layout>
        <c:manualLayout>
          <c:xMode val="edge"/>
          <c:yMode val="edge"/>
          <c:x val="0.20156856305370588"/>
          <c:y val="3.4485504652827487E-2"/>
        </c:manualLayout>
      </c:layout>
      <c:overlay val="0"/>
    </c:title>
    <c:autoTitleDeleted val="0"/>
    <c:plotArea>
      <c:layout/>
      <c:pieChart>
        <c:varyColors val="1"/>
        <c:ser>
          <c:idx val="0"/>
          <c:order val="0"/>
          <c:dPt>
            <c:idx val="0"/>
            <c:bubble3D val="0"/>
            <c:extLst>
              <c:ext xmlns:c16="http://schemas.microsoft.com/office/drawing/2014/chart" uri="{C3380CC4-5D6E-409C-BE32-E72D297353CC}">
                <c16:uniqueId val="{00000000-B4BC-45C0-8D2C-651CB074900A}"/>
              </c:ext>
            </c:extLst>
          </c:dPt>
          <c:dPt>
            <c:idx val="1"/>
            <c:bubble3D val="0"/>
            <c:extLst>
              <c:ext xmlns:c16="http://schemas.microsoft.com/office/drawing/2014/chart" uri="{C3380CC4-5D6E-409C-BE32-E72D297353CC}">
                <c16:uniqueId val="{00000001-B4BC-45C0-8D2C-651CB074900A}"/>
              </c:ext>
            </c:extLst>
          </c:dPt>
          <c:dPt>
            <c:idx val="2"/>
            <c:bubble3D val="0"/>
            <c:extLst>
              <c:ext xmlns:c16="http://schemas.microsoft.com/office/drawing/2014/chart" uri="{C3380CC4-5D6E-409C-BE32-E72D297353CC}">
                <c16:uniqueId val="{00000002-B4BC-45C0-8D2C-651CB074900A}"/>
              </c:ext>
            </c:extLst>
          </c:dPt>
          <c:dPt>
            <c:idx val="3"/>
            <c:bubble3D val="0"/>
            <c:extLst>
              <c:ext xmlns:c16="http://schemas.microsoft.com/office/drawing/2014/chart" uri="{C3380CC4-5D6E-409C-BE32-E72D297353CC}">
                <c16:uniqueId val="{00000003-B4BC-45C0-8D2C-651CB074900A}"/>
              </c:ext>
            </c:extLst>
          </c:dPt>
          <c:dPt>
            <c:idx val="4"/>
            <c:bubble3D val="0"/>
            <c:extLst>
              <c:ext xmlns:c16="http://schemas.microsoft.com/office/drawing/2014/chart" uri="{C3380CC4-5D6E-409C-BE32-E72D297353CC}">
                <c16:uniqueId val="{00000004-B4BC-45C0-8D2C-651CB074900A}"/>
              </c:ext>
            </c:extLst>
          </c:dPt>
          <c:dPt>
            <c:idx val="5"/>
            <c:bubble3D val="0"/>
            <c:extLst>
              <c:ext xmlns:c16="http://schemas.microsoft.com/office/drawing/2014/chart" uri="{C3380CC4-5D6E-409C-BE32-E72D297353CC}">
                <c16:uniqueId val="{00000005-B4BC-45C0-8D2C-651CB074900A}"/>
              </c:ext>
            </c:extLst>
          </c:dPt>
          <c:dPt>
            <c:idx val="6"/>
            <c:bubble3D val="0"/>
            <c:extLst>
              <c:ext xmlns:c16="http://schemas.microsoft.com/office/drawing/2014/chart" uri="{C3380CC4-5D6E-409C-BE32-E72D297353CC}">
                <c16:uniqueId val="{00000006-B4BC-45C0-8D2C-651CB074900A}"/>
              </c:ext>
            </c:extLst>
          </c:dPt>
          <c:dPt>
            <c:idx val="7"/>
            <c:bubble3D val="0"/>
            <c:extLst>
              <c:ext xmlns:c16="http://schemas.microsoft.com/office/drawing/2014/chart" uri="{C3380CC4-5D6E-409C-BE32-E72D297353CC}">
                <c16:uniqueId val="{00000007-B4BC-45C0-8D2C-651CB074900A}"/>
              </c:ext>
            </c:extLst>
          </c:dPt>
          <c:dPt>
            <c:idx val="8"/>
            <c:bubble3D val="0"/>
            <c:extLst>
              <c:ext xmlns:c16="http://schemas.microsoft.com/office/drawing/2014/chart" uri="{C3380CC4-5D6E-409C-BE32-E72D297353CC}">
                <c16:uniqueId val="{00000008-B4BC-45C0-8D2C-651CB074900A}"/>
              </c:ext>
            </c:extLst>
          </c:dPt>
          <c:dPt>
            <c:idx val="9"/>
            <c:bubble3D val="0"/>
            <c:extLst>
              <c:ext xmlns:c16="http://schemas.microsoft.com/office/drawing/2014/chart" uri="{C3380CC4-5D6E-409C-BE32-E72D297353CC}">
                <c16:uniqueId val="{00000009-B4BC-45C0-8D2C-651CB074900A}"/>
              </c:ext>
            </c:extLst>
          </c:dPt>
          <c:dPt>
            <c:idx val="10"/>
            <c:bubble3D val="0"/>
            <c:extLst>
              <c:ext xmlns:c16="http://schemas.microsoft.com/office/drawing/2014/chart" uri="{C3380CC4-5D6E-409C-BE32-E72D297353CC}">
                <c16:uniqueId val="{0000000A-B4BC-45C0-8D2C-651CB074900A}"/>
              </c:ext>
            </c:extLst>
          </c:dPt>
          <c:dPt>
            <c:idx val="11"/>
            <c:bubble3D val="0"/>
            <c:extLst>
              <c:ext xmlns:c16="http://schemas.microsoft.com/office/drawing/2014/chart" uri="{C3380CC4-5D6E-409C-BE32-E72D297353CC}">
                <c16:uniqueId val="{0000000B-B4BC-45C0-8D2C-651CB074900A}"/>
              </c:ext>
            </c:extLst>
          </c:dPt>
          <c:dPt>
            <c:idx val="12"/>
            <c:bubble3D val="0"/>
            <c:extLst>
              <c:ext xmlns:c16="http://schemas.microsoft.com/office/drawing/2014/chart" uri="{C3380CC4-5D6E-409C-BE32-E72D297353CC}">
                <c16:uniqueId val="{0000000C-B4BC-45C0-8D2C-651CB074900A}"/>
              </c:ext>
            </c:extLst>
          </c:dPt>
          <c:dLbls>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showLegendKey val="0"/>
            <c:showVal val="0"/>
            <c:showCatName val="0"/>
            <c:showSerName val="0"/>
            <c:showPercent val="1"/>
            <c:showBubbleSize val="0"/>
            <c:showLeaderLines val="1"/>
            <c:extLst>
              <c:ext xmlns:c15="http://schemas.microsoft.com/office/drawing/2012/chart" uri="{CE6537A1-D6FC-4f65-9D91-7224C49458BB}"/>
            </c:extLst>
          </c:dLbls>
          <c:cat>
            <c:strRef>
              <c:f>'VERTAILU PEKKA'!$W$152:$W$164</c:f>
              <c:strCache>
                <c:ptCount val="13"/>
                <c:pt idx="0">
                  <c:v>Suunnittelu</c:v>
                </c:pt>
                <c:pt idx="1">
                  <c:v>Rakennuttaminen</c:v>
                </c:pt>
                <c:pt idx="2">
                  <c:v>Liittymismaksut</c:v>
                </c:pt>
                <c:pt idx="3">
                  <c:v>Maastotyöt</c:v>
                </c:pt>
                <c:pt idx="4">
                  <c:v>Perustukset</c:v>
                </c:pt>
                <c:pt idx="5">
                  <c:v>Runko</c:v>
                </c:pt>
                <c:pt idx="6">
                  <c:v>Suojan katon korotus</c:v>
                </c:pt>
                <c:pt idx="7">
                  <c:v>Pintarakenteet </c:v>
                </c:pt>
                <c:pt idx="8">
                  <c:v>VSS- varusteet ja laitteet</c:v>
                </c:pt>
                <c:pt idx="9">
                  <c:v>Käyttö- ja yhteiskustannukset</c:v>
                </c:pt>
                <c:pt idx="10">
                  <c:v>Nousuvaraus ja kate</c:v>
                </c:pt>
                <c:pt idx="11">
                  <c:v>LVI-työt</c:v>
                </c:pt>
                <c:pt idx="12">
                  <c:v>Sähkötyöt</c:v>
                </c:pt>
              </c:strCache>
            </c:strRef>
          </c:cat>
          <c:val>
            <c:numRef>
              <c:f>'VERTAILU PEKKA'!$X$152:$X$164</c:f>
              <c:numCache>
                <c:formatCode>#,##0</c:formatCode>
                <c:ptCount val="13"/>
                <c:pt idx="0">
                  <c:v>7300</c:v>
                </c:pt>
                <c:pt idx="1">
                  <c:v>4280</c:v>
                </c:pt>
                <c:pt idx="2">
                  <c:v>2033</c:v>
                </c:pt>
                <c:pt idx="3">
                  <c:v>7162</c:v>
                </c:pt>
                <c:pt idx="4">
                  <c:v>13103</c:v>
                </c:pt>
                <c:pt idx="5">
                  <c:v>53236</c:v>
                </c:pt>
                <c:pt idx="6">
                  <c:v>3773</c:v>
                </c:pt>
                <c:pt idx="7">
                  <c:v>8484</c:v>
                </c:pt>
                <c:pt idx="8">
                  <c:v>23504</c:v>
                </c:pt>
                <c:pt idx="9">
                  <c:v>16050</c:v>
                </c:pt>
                <c:pt idx="10">
                  <c:v>15950</c:v>
                </c:pt>
                <c:pt idx="11">
                  <c:v>2000</c:v>
                </c:pt>
                <c:pt idx="12">
                  <c:v>4300</c:v>
                </c:pt>
              </c:numCache>
            </c:numRef>
          </c:val>
          <c:extLst>
            <c:ext xmlns:c16="http://schemas.microsoft.com/office/drawing/2014/chart" uri="{C3380CC4-5D6E-409C-BE32-E72D297353CC}">
              <c16:uniqueId val="{0000000D-B4BC-45C0-8D2C-651CB074900A}"/>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0461586462276149"/>
          <c:y val="0.15043486041517537"/>
          <c:w val="0.21503830269391511"/>
          <c:h val="0.80088605046528272"/>
        </c:manualLayout>
      </c:layout>
      <c:overlay val="0"/>
      <c:txPr>
        <a:bodyPr/>
        <a:lstStyle/>
        <a:p>
          <a:pPr>
            <a:defRPr sz="1180" b="0" i="0" u="none" strike="noStrike" baseline="0">
              <a:solidFill>
                <a:srgbClr val="000000"/>
              </a:solidFill>
              <a:latin typeface="Calibri"/>
              <a:ea typeface="Calibri"/>
              <a:cs typeface="Calibri"/>
            </a:defRPr>
          </a:pPr>
          <a:endParaRPr lang="fi-FI"/>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fi-F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fi-FI" sz="1800" b="1" i="0" u="none" strike="noStrike" baseline="0">
                <a:solidFill>
                  <a:srgbClr val="000000"/>
                </a:solidFill>
                <a:latin typeface="Calibri"/>
                <a:cs typeface="Calibri"/>
              </a:rPr>
              <a:t>Kuva 15. S1-luokka 20 m</a:t>
            </a:r>
            <a:r>
              <a:rPr lang="fi-FI" sz="1800" b="1" i="0" u="none" strike="noStrike" baseline="30000">
                <a:solidFill>
                  <a:srgbClr val="000000"/>
                </a:solidFill>
                <a:latin typeface="Calibri"/>
                <a:cs typeface="Calibri"/>
              </a:rPr>
              <a:t>2  </a:t>
            </a:r>
            <a:r>
              <a:rPr lang="fi-FI" sz="1800" b="1" i="0" u="none" strike="noStrike" baseline="0">
                <a:solidFill>
                  <a:srgbClr val="000000"/>
                </a:solidFill>
                <a:latin typeface="Calibri"/>
                <a:cs typeface="Calibri"/>
              </a:rPr>
              <a:t>ja 135 m</a:t>
            </a:r>
            <a:r>
              <a:rPr lang="fi-FI" sz="1800" b="1" i="0" u="none" strike="noStrike" baseline="30000">
                <a:solidFill>
                  <a:srgbClr val="000000"/>
                </a:solidFill>
                <a:latin typeface="Calibri"/>
                <a:cs typeface="Calibri"/>
              </a:rPr>
              <a:t>2</a:t>
            </a:r>
            <a:r>
              <a:rPr lang="fi-FI" sz="1800" b="1" i="0" u="none" strike="noStrike" baseline="0">
                <a:solidFill>
                  <a:srgbClr val="000000"/>
                </a:solidFill>
                <a:latin typeface="Calibri"/>
                <a:cs typeface="Calibri"/>
              </a:rPr>
              <a:t> kustannusten jakauma  1/2020</a:t>
            </a:r>
          </a:p>
        </c:rich>
      </c:tx>
      <c:overlay val="0"/>
    </c:title>
    <c:autoTitleDeleted val="0"/>
    <c:plotArea>
      <c:layout/>
      <c:doughnutChart>
        <c:varyColors val="1"/>
        <c:ser>
          <c:idx val="0"/>
          <c:order val="0"/>
          <c:spPr>
            <a:ln w="12700">
              <a:solidFill>
                <a:srgbClr val="FF0000"/>
              </a:solidFill>
            </a:ln>
          </c:spPr>
          <c:dPt>
            <c:idx val="0"/>
            <c:bubble3D val="0"/>
            <c:extLst>
              <c:ext xmlns:c16="http://schemas.microsoft.com/office/drawing/2014/chart" uri="{C3380CC4-5D6E-409C-BE32-E72D297353CC}">
                <c16:uniqueId val="{00000000-F589-434E-AF61-F0E7E5C9AF2E}"/>
              </c:ext>
            </c:extLst>
          </c:dPt>
          <c:dPt>
            <c:idx val="1"/>
            <c:bubble3D val="0"/>
            <c:extLst>
              <c:ext xmlns:c16="http://schemas.microsoft.com/office/drawing/2014/chart" uri="{C3380CC4-5D6E-409C-BE32-E72D297353CC}">
                <c16:uniqueId val="{00000001-F589-434E-AF61-F0E7E5C9AF2E}"/>
              </c:ext>
            </c:extLst>
          </c:dPt>
          <c:dPt>
            <c:idx val="2"/>
            <c:bubble3D val="0"/>
            <c:extLst>
              <c:ext xmlns:c16="http://schemas.microsoft.com/office/drawing/2014/chart" uri="{C3380CC4-5D6E-409C-BE32-E72D297353CC}">
                <c16:uniqueId val="{00000002-F589-434E-AF61-F0E7E5C9AF2E}"/>
              </c:ext>
            </c:extLst>
          </c:dPt>
          <c:dPt>
            <c:idx val="3"/>
            <c:bubble3D val="0"/>
            <c:extLst>
              <c:ext xmlns:c16="http://schemas.microsoft.com/office/drawing/2014/chart" uri="{C3380CC4-5D6E-409C-BE32-E72D297353CC}">
                <c16:uniqueId val="{00000003-F589-434E-AF61-F0E7E5C9AF2E}"/>
              </c:ext>
            </c:extLst>
          </c:dPt>
          <c:dPt>
            <c:idx val="4"/>
            <c:bubble3D val="0"/>
            <c:extLst>
              <c:ext xmlns:c16="http://schemas.microsoft.com/office/drawing/2014/chart" uri="{C3380CC4-5D6E-409C-BE32-E72D297353CC}">
                <c16:uniqueId val="{00000004-F589-434E-AF61-F0E7E5C9AF2E}"/>
              </c:ext>
            </c:extLst>
          </c:dPt>
          <c:dPt>
            <c:idx val="5"/>
            <c:bubble3D val="0"/>
            <c:extLst>
              <c:ext xmlns:c16="http://schemas.microsoft.com/office/drawing/2014/chart" uri="{C3380CC4-5D6E-409C-BE32-E72D297353CC}">
                <c16:uniqueId val="{00000005-F589-434E-AF61-F0E7E5C9AF2E}"/>
              </c:ext>
            </c:extLst>
          </c:dPt>
          <c:dLbls>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showLegendKey val="0"/>
            <c:showVal val="0"/>
            <c:showCatName val="0"/>
            <c:showSerName val="0"/>
            <c:showPercent val="1"/>
            <c:showBubbleSize val="0"/>
            <c:showLeaderLines val="0"/>
            <c:extLst>
              <c:ext xmlns:c15="http://schemas.microsoft.com/office/drawing/2012/chart" uri="{CE6537A1-D6FC-4f65-9D91-7224C49458BB}"/>
            </c:extLst>
          </c:dLbls>
          <c:cat>
            <c:strRef>
              <c:f>'VERTAILU PEKKA'!$T$5:$T$10</c:f>
              <c:strCache>
                <c:ptCount val="6"/>
                <c:pt idx="0">
                  <c:v>Suunnittelu, rakennuttaminen ja liittymismaksut</c:v>
                </c:pt>
                <c:pt idx="1">
                  <c:v>Rakennuksen maatyöt</c:v>
                </c:pt>
                <c:pt idx="2">
                  <c:v>Perustukset, runko ja sisäpuoliset pintarakenteet</c:v>
                </c:pt>
                <c:pt idx="3">
                  <c:v>Kalusteet, varusteet ja laitteet</c:v>
                </c:pt>
                <c:pt idx="4">
                  <c:v>Käyttö, yleiskulut, kate ja nousuvaraus</c:v>
                </c:pt>
                <c:pt idx="5">
                  <c:v>LVI ja sähkö</c:v>
                </c:pt>
              </c:strCache>
            </c:strRef>
          </c:cat>
          <c:val>
            <c:numRef>
              <c:f>'VERTAILU PEKKA'!$U$5:$U$10</c:f>
              <c:numCache>
                <c:formatCode>#,##0</c:formatCode>
                <c:ptCount val="6"/>
                <c:pt idx="0">
                  <c:v>6970</c:v>
                </c:pt>
                <c:pt idx="1">
                  <c:v>2662</c:v>
                </c:pt>
                <c:pt idx="2">
                  <c:v>27898.799999999999</c:v>
                </c:pt>
                <c:pt idx="3">
                  <c:v>12507</c:v>
                </c:pt>
                <c:pt idx="4">
                  <c:v>8900</c:v>
                </c:pt>
                <c:pt idx="5">
                  <c:v>5047</c:v>
                </c:pt>
              </c:numCache>
            </c:numRef>
          </c:val>
          <c:extLst>
            <c:ext xmlns:c16="http://schemas.microsoft.com/office/drawing/2014/chart" uri="{C3380CC4-5D6E-409C-BE32-E72D297353CC}">
              <c16:uniqueId val="{00000006-F589-434E-AF61-F0E7E5C9AF2E}"/>
            </c:ext>
          </c:extLst>
        </c:ser>
        <c:ser>
          <c:idx val="1"/>
          <c:order val="1"/>
          <c:spPr>
            <a:ln w="12700">
              <a:solidFill>
                <a:srgbClr val="FFC000"/>
              </a:solidFill>
              <a:prstDash val="dash"/>
            </a:ln>
          </c:spPr>
          <c:dPt>
            <c:idx val="0"/>
            <c:bubble3D val="0"/>
            <c:extLst>
              <c:ext xmlns:c16="http://schemas.microsoft.com/office/drawing/2014/chart" uri="{C3380CC4-5D6E-409C-BE32-E72D297353CC}">
                <c16:uniqueId val="{00000007-F589-434E-AF61-F0E7E5C9AF2E}"/>
              </c:ext>
            </c:extLst>
          </c:dPt>
          <c:dPt>
            <c:idx val="1"/>
            <c:bubble3D val="0"/>
            <c:extLst>
              <c:ext xmlns:c16="http://schemas.microsoft.com/office/drawing/2014/chart" uri="{C3380CC4-5D6E-409C-BE32-E72D297353CC}">
                <c16:uniqueId val="{00000008-F589-434E-AF61-F0E7E5C9AF2E}"/>
              </c:ext>
            </c:extLst>
          </c:dPt>
          <c:dPt>
            <c:idx val="2"/>
            <c:bubble3D val="0"/>
            <c:extLst>
              <c:ext xmlns:c16="http://schemas.microsoft.com/office/drawing/2014/chart" uri="{C3380CC4-5D6E-409C-BE32-E72D297353CC}">
                <c16:uniqueId val="{00000009-F589-434E-AF61-F0E7E5C9AF2E}"/>
              </c:ext>
            </c:extLst>
          </c:dPt>
          <c:dPt>
            <c:idx val="3"/>
            <c:bubble3D val="0"/>
            <c:extLst>
              <c:ext xmlns:c16="http://schemas.microsoft.com/office/drawing/2014/chart" uri="{C3380CC4-5D6E-409C-BE32-E72D297353CC}">
                <c16:uniqueId val="{0000000A-F589-434E-AF61-F0E7E5C9AF2E}"/>
              </c:ext>
            </c:extLst>
          </c:dPt>
          <c:dPt>
            <c:idx val="4"/>
            <c:bubble3D val="0"/>
            <c:extLst>
              <c:ext xmlns:c16="http://schemas.microsoft.com/office/drawing/2014/chart" uri="{C3380CC4-5D6E-409C-BE32-E72D297353CC}">
                <c16:uniqueId val="{0000000B-F589-434E-AF61-F0E7E5C9AF2E}"/>
              </c:ext>
            </c:extLst>
          </c:dPt>
          <c:dPt>
            <c:idx val="5"/>
            <c:bubble3D val="0"/>
            <c:extLst>
              <c:ext xmlns:c16="http://schemas.microsoft.com/office/drawing/2014/chart" uri="{C3380CC4-5D6E-409C-BE32-E72D297353CC}">
                <c16:uniqueId val="{0000000C-F589-434E-AF61-F0E7E5C9AF2E}"/>
              </c:ext>
            </c:extLst>
          </c:dPt>
          <c:dLbls>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showLegendKey val="0"/>
            <c:showVal val="0"/>
            <c:showCatName val="0"/>
            <c:showSerName val="0"/>
            <c:showPercent val="1"/>
            <c:showBubbleSize val="0"/>
            <c:showLeaderLines val="0"/>
            <c:extLst>
              <c:ext xmlns:c15="http://schemas.microsoft.com/office/drawing/2012/chart" uri="{CE6537A1-D6FC-4f65-9D91-7224C49458BB}"/>
            </c:extLst>
          </c:dLbls>
          <c:cat>
            <c:strRef>
              <c:f>'VERTAILU PEKKA'!$T$228:$T$233</c:f>
              <c:strCache>
                <c:ptCount val="6"/>
                <c:pt idx="0">
                  <c:v>Suunnittelu, rakennuttaminen ja liittymismaksut</c:v>
                </c:pt>
                <c:pt idx="1">
                  <c:v>Rakennuksen maatyöt</c:v>
                </c:pt>
                <c:pt idx="2">
                  <c:v>Perustukset, runko ja sisäpuoliset pintarakenteet</c:v>
                </c:pt>
                <c:pt idx="3">
                  <c:v>Kalusteet, varusteet ja laitteet</c:v>
                </c:pt>
                <c:pt idx="4">
                  <c:v>Käyttö, yleiskulut, kate ja nousuvaraus</c:v>
                </c:pt>
                <c:pt idx="5">
                  <c:v>LVI ja sähkö</c:v>
                </c:pt>
              </c:strCache>
            </c:strRef>
          </c:cat>
          <c:val>
            <c:numRef>
              <c:f>'VERTAILU PEKKA'!$U$228:$U$233</c:f>
              <c:numCache>
                <c:formatCode>#,##0</c:formatCode>
                <c:ptCount val="6"/>
                <c:pt idx="0">
                  <c:v>17263</c:v>
                </c:pt>
                <c:pt idx="1">
                  <c:v>9719</c:v>
                </c:pt>
                <c:pt idx="2">
                  <c:v>102810</c:v>
                </c:pt>
                <c:pt idx="3">
                  <c:v>32358</c:v>
                </c:pt>
                <c:pt idx="4">
                  <c:v>46900</c:v>
                </c:pt>
                <c:pt idx="5">
                  <c:v>7337</c:v>
                </c:pt>
              </c:numCache>
            </c:numRef>
          </c:val>
          <c:extLst>
            <c:ext xmlns:c16="http://schemas.microsoft.com/office/drawing/2014/chart" uri="{C3380CC4-5D6E-409C-BE32-E72D297353CC}">
              <c16:uniqueId val="{0000000D-F589-434E-AF61-F0E7E5C9AF2E}"/>
            </c:ext>
          </c:extLst>
        </c:ser>
        <c:dLbls>
          <c:showLegendKey val="0"/>
          <c:showVal val="0"/>
          <c:showCatName val="0"/>
          <c:showSerName val="0"/>
          <c:showPercent val="0"/>
          <c:showBubbleSize val="0"/>
          <c:showLeaderLines val="0"/>
        </c:dLbls>
        <c:firstSliceAng val="0"/>
        <c:holeSize val="50"/>
      </c:doughnutChart>
      <c:spPr>
        <a:noFill/>
        <a:ln w="25400">
          <a:noFill/>
        </a:ln>
      </c:spPr>
    </c:plotArea>
    <c:legend>
      <c:legendPos val="r"/>
      <c:layout>
        <c:manualLayout>
          <c:xMode val="edge"/>
          <c:yMode val="edge"/>
          <c:x val="0.62774441279946391"/>
          <c:y val="0.32601109520400862"/>
          <c:w val="0.32781125185438775"/>
          <c:h val="0.44094636755311245"/>
        </c:manualLayout>
      </c:layout>
      <c:overlay val="0"/>
      <c:txPr>
        <a:bodyPr/>
        <a:lstStyle/>
        <a:p>
          <a:pPr>
            <a:defRPr sz="1200" b="0" i="0" u="none" strike="noStrike" baseline="0">
              <a:solidFill>
                <a:srgbClr val="000000"/>
              </a:solidFill>
              <a:latin typeface="Calibri"/>
              <a:ea typeface="Calibri"/>
              <a:cs typeface="Calibri"/>
            </a:defRPr>
          </a:pPr>
          <a:endParaRPr lang="fi-FI"/>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fi-FI"/>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fi-FI"/>
              <a:t>Kuva 42/2. Väestönsuojan laitteiden ja varusteiden neliöhinnat  1/2020</a:t>
            </a:r>
          </a:p>
        </c:rich>
      </c:tx>
      <c:overlay val="0"/>
    </c:title>
    <c:autoTitleDeleted val="0"/>
    <c:plotArea>
      <c:layout>
        <c:manualLayout>
          <c:layoutTarget val="inner"/>
          <c:xMode val="edge"/>
          <c:yMode val="edge"/>
          <c:x val="6.7751326466779671E-2"/>
          <c:y val="8.6386690615605471E-2"/>
          <c:w val="0.89229665745724562"/>
          <c:h val="0.85059562697592495"/>
        </c:manualLayout>
      </c:layout>
      <c:lineChart>
        <c:grouping val="standard"/>
        <c:varyColors val="0"/>
        <c:ser>
          <c:idx val="0"/>
          <c:order val="0"/>
          <c:spPr>
            <a:ln w="28575">
              <a:solidFill>
                <a:srgbClr val="FF0000"/>
              </a:solidFill>
            </a:ln>
          </c:spPr>
          <c:marker>
            <c:symbol val="none"/>
          </c:marker>
          <c:dLbls>
            <c:dLbl>
              <c:idx val="0"/>
              <c:layout>
                <c:manualLayout>
                  <c:x val="-1.0013424827406019E-2"/>
                  <c:y val="-1.7050758485697762E-2"/>
                </c:manualLayout>
              </c:layout>
              <c:spPr>
                <a:noFill/>
                <a:ln w="25400">
                  <a:noFill/>
                </a:ln>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FD-40C2-B0B9-86444605749B}"/>
                </c:ext>
              </c:extLst>
            </c:dLbl>
            <c:dLbl>
              <c:idx val="1"/>
              <c:layout>
                <c:manualLayout>
                  <c:x val="-2.1537869151025225E-2"/>
                  <c:y val="-4.8430390575816336E-2"/>
                </c:manualLayout>
              </c:layout>
              <c:spPr>
                <a:noFill/>
                <a:ln w="25400">
                  <a:noFill/>
                </a:ln>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FD-40C2-B0B9-86444605749B}"/>
                </c:ext>
              </c:extLst>
            </c:dLbl>
            <c:dLbl>
              <c:idx val="3"/>
              <c:layout>
                <c:manualLayout>
                  <c:x val="-4.6192077450644291E-2"/>
                  <c:y val="-3.9649628542194934E-2"/>
                </c:manualLayout>
              </c:layout>
              <c:spPr>
                <a:noFill/>
                <a:ln w="25400">
                  <a:noFill/>
                </a:ln>
              </c:spPr>
              <c:txPr>
                <a:bodyPr/>
                <a:lstStyle/>
                <a:p>
                  <a:pPr>
                    <a:defRPr sz="14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FD-40C2-B0B9-86444605749B}"/>
                </c:ext>
              </c:extLst>
            </c:dLbl>
            <c:spPr>
              <a:noFill/>
              <a:ln w="25400">
                <a:noFill/>
              </a:ln>
            </c:spPr>
            <c:txPr>
              <a:bodyPr wrap="square" lIns="38100" tIns="19050" rIns="38100" bIns="19050" anchor="ctr">
                <a:spAutoFit/>
              </a:bodyPr>
              <a:lstStyle/>
              <a:p>
                <a:pPr>
                  <a:defRPr sz="14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'VERTAILU PEKKA'!$AO$59:$AO$62</c:f>
              <c:strCache>
                <c:ptCount val="4"/>
                <c:pt idx="0">
                  <c:v>20 m2  </c:v>
                </c:pt>
                <c:pt idx="1">
                  <c:v>45 m2  </c:v>
                </c:pt>
                <c:pt idx="2">
                  <c:v>90 m2  </c:v>
                </c:pt>
                <c:pt idx="3">
                  <c:v>135 m2  </c:v>
                </c:pt>
              </c:strCache>
            </c:strRef>
          </c:cat>
          <c:val>
            <c:numRef>
              <c:f>'VERTAILU PEKKA'!$AQ$50:$AQ$53</c:f>
              <c:numCache>
                <c:formatCode>0</c:formatCode>
                <c:ptCount val="4"/>
                <c:pt idx="0">
                  <c:v>625.35</c:v>
                </c:pt>
                <c:pt idx="1">
                  <c:v>300.88888888888891</c:v>
                </c:pt>
                <c:pt idx="2">
                  <c:v>259.97777777777776</c:v>
                </c:pt>
                <c:pt idx="3">
                  <c:v>239.66666666666666</c:v>
                </c:pt>
              </c:numCache>
            </c:numRef>
          </c:val>
          <c:smooth val="0"/>
          <c:extLst>
            <c:ext xmlns:c16="http://schemas.microsoft.com/office/drawing/2014/chart" uri="{C3380CC4-5D6E-409C-BE32-E72D297353CC}">
              <c16:uniqueId val="{00000003-DAFD-40C2-B0B9-86444605749B}"/>
            </c:ext>
          </c:extLst>
        </c:ser>
        <c:dLbls>
          <c:showLegendKey val="0"/>
          <c:showVal val="0"/>
          <c:showCatName val="0"/>
          <c:showSerName val="0"/>
          <c:showPercent val="0"/>
          <c:showBubbleSize val="0"/>
        </c:dLbls>
        <c:smooth val="0"/>
        <c:axId val="1934631552"/>
        <c:axId val="1"/>
      </c:lineChart>
      <c:catAx>
        <c:axId val="1934631552"/>
        <c:scaling>
          <c:orientation val="minMax"/>
        </c:scaling>
        <c:delete val="0"/>
        <c:axPos val="b"/>
        <c:majorGridlines/>
        <c:minorGridlines/>
        <c:numFmt formatCode="General" sourceLinked="1"/>
        <c:majorTickMark val="out"/>
        <c:minorTickMark val="none"/>
        <c:tickLblPos val="nextTo"/>
        <c:txPr>
          <a:bodyPr rot="0" vert="horz"/>
          <a:lstStyle/>
          <a:p>
            <a:pPr>
              <a:defRPr sz="1400" b="0" i="0" u="none" strike="noStrike" baseline="0">
                <a:solidFill>
                  <a:srgbClr val="000000"/>
                </a:solidFill>
                <a:latin typeface="Calibri"/>
                <a:ea typeface="Calibri"/>
                <a:cs typeface="Calibri"/>
              </a:defRPr>
            </a:pPr>
            <a:endParaRPr lang="fi-FI"/>
          </a:p>
        </c:txPr>
        <c:crossAx val="1"/>
        <c:crosses val="autoZero"/>
        <c:auto val="1"/>
        <c:lblAlgn val="ctr"/>
        <c:lblOffset val="100"/>
        <c:noMultiLvlLbl val="0"/>
      </c:catAx>
      <c:valAx>
        <c:axId val="1"/>
        <c:scaling>
          <c:orientation val="minMax"/>
          <c:max val="700"/>
          <c:min val="200"/>
        </c:scaling>
        <c:delete val="0"/>
        <c:axPos val="l"/>
        <c:majorGridlines/>
        <c:numFmt formatCode="0" sourceLinked="1"/>
        <c:majorTickMark val="out"/>
        <c:minorTickMark val="none"/>
        <c:tickLblPos val="nextTo"/>
        <c:txPr>
          <a:bodyPr rot="0" vert="horz"/>
          <a:lstStyle/>
          <a:p>
            <a:pPr>
              <a:defRPr sz="1400" b="0" i="0" u="none" strike="noStrike" baseline="0">
                <a:solidFill>
                  <a:srgbClr val="000000"/>
                </a:solidFill>
                <a:latin typeface="Calibri"/>
                <a:ea typeface="Calibri"/>
                <a:cs typeface="Calibri"/>
              </a:defRPr>
            </a:pPr>
            <a:endParaRPr lang="fi-FI"/>
          </a:p>
        </c:txPr>
        <c:crossAx val="1934631552"/>
        <c:crosses val="autoZero"/>
        <c:crossBetween val="midCat"/>
      </c:valAx>
    </c:plotArea>
    <c:plotVisOnly val="1"/>
    <c:dispBlanksAs val="gap"/>
    <c:showDLblsOverMax val="0"/>
  </c:chart>
  <c:spPr>
    <a:solidFill>
      <a:srgbClr val="99FF99"/>
    </a:solidFill>
  </c:spPr>
  <c:txPr>
    <a:bodyPr/>
    <a:lstStyle/>
    <a:p>
      <a:pPr>
        <a:defRPr sz="1200" b="0" i="0" u="none" strike="noStrike" baseline="0">
          <a:solidFill>
            <a:srgbClr val="000000"/>
          </a:solidFill>
          <a:latin typeface="Calibri"/>
          <a:ea typeface="Calibri"/>
          <a:cs typeface="Calibri"/>
        </a:defRPr>
      </a:pPr>
      <a:endParaRPr lang="fi-FI"/>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0" i="0" u="none" strike="noStrike" baseline="0">
                <a:solidFill>
                  <a:srgbClr val="000000"/>
                </a:solidFill>
                <a:latin typeface="Calibri"/>
                <a:ea typeface="Calibri"/>
                <a:cs typeface="Calibri"/>
              </a:defRPr>
            </a:pPr>
            <a:r>
              <a:rPr lang="fi-FI"/>
              <a:t> Kuva 13. Väestönsuojan rakentamisen työtunnit  1/2020</a:t>
            </a:r>
          </a:p>
        </c:rich>
      </c:tx>
      <c:overlay val="0"/>
      <c:spPr>
        <a:ln>
          <a:noFill/>
        </a:ln>
        <a:effectLst>
          <a:outerShdw blurRad="50800" dist="38100" dir="2700000" algn="tl" rotWithShape="0">
            <a:prstClr val="black">
              <a:alpha val="40000"/>
            </a:prstClr>
          </a:outerShdw>
        </a:effectLst>
      </c:spPr>
    </c:title>
    <c:autoTitleDeleted val="0"/>
    <c:plotArea>
      <c:layout/>
      <c:lineChart>
        <c:grouping val="standard"/>
        <c:varyColors val="0"/>
        <c:ser>
          <c:idx val="0"/>
          <c:order val="0"/>
          <c:tx>
            <c:strRef>
              <c:f>'Pekan jaottelu'!$B$121</c:f>
              <c:strCache>
                <c:ptCount val="1"/>
                <c:pt idx="0">
                  <c:v>Työmaan tunnit ulkopuolinen urakoitsija</c:v>
                </c:pt>
              </c:strCache>
            </c:strRef>
          </c:tx>
          <c:spPr>
            <a:ln w="28575">
              <a:solidFill>
                <a:srgbClr val="0070C0"/>
              </a:solidFill>
            </a:ln>
          </c:spPr>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fi-FI"/>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jaottelu'!$C$120:$G$120</c:f>
              <c:strCache>
                <c:ptCount val="5"/>
                <c:pt idx="0">
                  <c:v>20 m2  </c:v>
                </c:pt>
                <c:pt idx="1">
                  <c:v>45 m2  </c:v>
                </c:pt>
                <c:pt idx="2">
                  <c:v>66 m2  </c:v>
                </c:pt>
                <c:pt idx="3">
                  <c:v>90 m2  </c:v>
                </c:pt>
                <c:pt idx="4">
                  <c:v>135 m2  </c:v>
                </c:pt>
              </c:strCache>
            </c:strRef>
          </c:cat>
          <c:val>
            <c:numRef>
              <c:f>'Pekan jaottelu'!$C$121:$G$121</c:f>
              <c:numCache>
                <c:formatCode>0</c:formatCode>
                <c:ptCount val="5"/>
                <c:pt idx="0">
                  <c:v>302.61350000000004</c:v>
                </c:pt>
                <c:pt idx="1">
                  <c:v>479.1155714285714</c:v>
                </c:pt>
                <c:pt idx="2">
                  <c:v>635.61537142857139</c:v>
                </c:pt>
                <c:pt idx="3">
                  <c:v>814.47228571428559</c:v>
                </c:pt>
                <c:pt idx="4">
                  <c:v>1125.8723571428573</c:v>
                </c:pt>
              </c:numCache>
            </c:numRef>
          </c:val>
          <c:smooth val="0"/>
          <c:extLst>
            <c:ext xmlns:c16="http://schemas.microsoft.com/office/drawing/2014/chart" uri="{C3380CC4-5D6E-409C-BE32-E72D297353CC}">
              <c16:uniqueId val="{00000000-0DEC-4961-89FF-AA0428357C24}"/>
            </c:ext>
          </c:extLst>
        </c:ser>
        <c:ser>
          <c:idx val="1"/>
          <c:order val="1"/>
          <c:tx>
            <c:strRef>
              <c:f>'Pekan jaottelu'!$B$122</c:f>
              <c:strCache>
                <c:ptCount val="1"/>
                <c:pt idx="0">
                  <c:v>Työmaan tunnit omat työt</c:v>
                </c:pt>
              </c:strCache>
            </c:strRef>
          </c:tx>
          <c:spPr>
            <a:ln w="28575">
              <a:solidFill>
                <a:srgbClr val="FF0000"/>
              </a:solidFill>
            </a:ln>
          </c:spPr>
          <c:marker>
            <c:symbol val="none"/>
          </c:marker>
          <c:dLbls>
            <c:dLbl>
              <c:idx val="0"/>
              <c:layout>
                <c:manualLayout>
                  <c:x val="-2.4995030980689857E-2"/>
                  <c:y val="4.8989260707126704E-2"/>
                </c:manualLayout>
              </c:layout>
              <c:spPr/>
              <c:txPr>
                <a:bodyPr/>
                <a:lstStyle/>
                <a:p>
                  <a:pPr>
                    <a:defRPr sz="10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EC-4961-89FF-AA0428357C24}"/>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fi-FI"/>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jaottelu'!$C$120:$G$120</c:f>
              <c:strCache>
                <c:ptCount val="5"/>
                <c:pt idx="0">
                  <c:v>20 m2  </c:v>
                </c:pt>
                <c:pt idx="1">
                  <c:v>45 m2  </c:v>
                </c:pt>
                <c:pt idx="2">
                  <c:v>66 m2  </c:v>
                </c:pt>
                <c:pt idx="3">
                  <c:v>90 m2  </c:v>
                </c:pt>
                <c:pt idx="4">
                  <c:v>135 m2  </c:v>
                </c:pt>
              </c:strCache>
            </c:strRef>
          </c:cat>
          <c:val>
            <c:numRef>
              <c:f>'Pekan jaottelu'!$C$122:$G$122</c:f>
              <c:numCache>
                <c:formatCode>0</c:formatCode>
                <c:ptCount val="5"/>
                <c:pt idx="0">
                  <c:v>285</c:v>
                </c:pt>
                <c:pt idx="1">
                  <c:v>451</c:v>
                </c:pt>
                <c:pt idx="2">
                  <c:v>610.6</c:v>
                </c:pt>
                <c:pt idx="3">
                  <c:v>793</c:v>
                </c:pt>
                <c:pt idx="4">
                  <c:v>1030</c:v>
                </c:pt>
              </c:numCache>
            </c:numRef>
          </c:val>
          <c:smooth val="0"/>
          <c:extLst>
            <c:ext xmlns:c16="http://schemas.microsoft.com/office/drawing/2014/chart" uri="{C3380CC4-5D6E-409C-BE32-E72D297353CC}">
              <c16:uniqueId val="{00000002-0DEC-4961-89FF-AA0428357C24}"/>
            </c:ext>
          </c:extLst>
        </c:ser>
        <c:ser>
          <c:idx val="2"/>
          <c:order val="2"/>
          <c:tx>
            <c:strRef>
              <c:f>'Pekan jaottelu'!$B$123</c:f>
              <c:strCache>
                <c:ptCount val="1"/>
                <c:pt idx="0">
                  <c:v>Työmaan ulkopuolella tehty työ</c:v>
                </c:pt>
              </c:strCache>
            </c:strRef>
          </c:tx>
          <c:spPr>
            <a:ln w="28575"/>
          </c:spPr>
          <c:marker>
            <c:symbol val="none"/>
          </c:marker>
          <c:dLbls>
            <c:dLbl>
              <c:idx val="0"/>
              <c:layout>
                <c:manualLayout>
                  <c:x val="-4.4671320246381561E-2"/>
                  <c:y val="1.5657836584859883E-4"/>
                </c:manualLayout>
              </c:layout>
              <c:spPr/>
              <c:txPr>
                <a:bodyPr/>
                <a:lstStyle/>
                <a:p>
                  <a:pPr>
                    <a:defRPr sz="1000" b="0" i="0" u="none" strike="noStrike" baseline="0">
                      <a:solidFill>
                        <a:srgbClr val="000000"/>
                      </a:solidFill>
                      <a:latin typeface="Calibri"/>
                      <a:ea typeface="Calibri"/>
                      <a:cs typeface="Calibri"/>
                    </a:defRPr>
                  </a:pPr>
                  <a:endParaRPr lang="fi-FI"/>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EC-4961-89FF-AA0428357C24}"/>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fi-FI"/>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'Pekan jaottelu'!$C$120:$G$120</c:f>
              <c:strCache>
                <c:ptCount val="5"/>
                <c:pt idx="0">
                  <c:v>20 m2  </c:v>
                </c:pt>
                <c:pt idx="1">
                  <c:v>45 m2  </c:v>
                </c:pt>
                <c:pt idx="2">
                  <c:v>66 m2  </c:v>
                </c:pt>
                <c:pt idx="3">
                  <c:v>90 m2  </c:v>
                </c:pt>
                <c:pt idx="4">
                  <c:v>135 m2  </c:v>
                </c:pt>
              </c:strCache>
            </c:strRef>
          </c:cat>
          <c:val>
            <c:numRef>
              <c:f>'Pekan jaottelu'!$C$123:$G$123</c:f>
              <c:numCache>
                <c:formatCode>0</c:formatCode>
                <c:ptCount val="5"/>
                <c:pt idx="0">
                  <c:v>266.31964285714287</c:v>
                </c:pt>
                <c:pt idx="1">
                  <c:v>325.81607142857143</c:v>
                </c:pt>
                <c:pt idx="2">
                  <c:v>431.48357142857145</c:v>
                </c:pt>
                <c:pt idx="3">
                  <c:v>552.24642857142862</c:v>
                </c:pt>
                <c:pt idx="4">
                  <c:v>748.67678571428564</c:v>
                </c:pt>
              </c:numCache>
            </c:numRef>
          </c:val>
          <c:smooth val="0"/>
          <c:extLst>
            <c:ext xmlns:c16="http://schemas.microsoft.com/office/drawing/2014/chart" uri="{C3380CC4-5D6E-409C-BE32-E72D297353CC}">
              <c16:uniqueId val="{00000004-0DEC-4961-89FF-AA0428357C24}"/>
            </c:ext>
          </c:extLst>
        </c:ser>
        <c:dLbls>
          <c:showLegendKey val="0"/>
          <c:showVal val="0"/>
          <c:showCatName val="0"/>
          <c:showSerName val="0"/>
          <c:showPercent val="0"/>
          <c:showBubbleSize val="0"/>
        </c:dLbls>
        <c:smooth val="0"/>
        <c:axId val="1934608032"/>
        <c:axId val="1"/>
      </c:lineChart>
      <c:catAx>
        <c:axId val="1934608032"/>
        <c:scaling>
          <c:orientation val="minMax"/>
        </c:scaling>
        <c:delete val="0"/>
        <c:axPos val="b"/>
        <c:majorGridlines/>
        <c:minorGridlines>
          <c:spPr>
            <a:ln>
              <a:solidFill>
                <a:srgbClr val="FF0000"/>
              </a:solidFill>
            </a:ln>
          </c:spPr>
        </c:minorGridlines>
        <c:numFmt formatCode="General"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fi-FI"/>
          </a:p>
        </c:txPr>
        <c:crossAx val="1"/>
        <c:crosses val="autoZero"/>
        <c:auto val="1"/>
        <c:lblAlgn val="ctr"/>
        <c:lblOffset val="100"/>
        <c:noMultiLvlLbl val="0"/>
      </c:catAx>
      <c:valAx>
        <c:axId val="1"/>
        <c:scaling>
          <c:orientation val="minMax"/>
          <c:max val="1200"/>
          <c:min val="200"/>
        </c:scaling>
        <c:delete val="0"/>
        <c:axPos val="l"/>
        <c:majorGridlines/>
        <c:title>
          <c:tx>
            <c:rich>
              <a:bodyPr/>
              <a:lstStyle/>
              <a:p>
                <a:pPr>
                  <a:defRPr sz="1200" b="0" i="0" u="none" strike="noStrike" baseline="0">
                    <a:solidFill>
                      <a:srgbClr val="000000"/>
                    </a:solidFill>
                    <a:latin typeface="Calibri"/>
                    <a:ea typeface="Calibri"/>
                    <a:cs typeface="Calibri"/>
                  </a:defRPr>
                </a:pPr>
                <a:r>
                  <a:rPr lang="fi-FI"/>
                  <a:t>Väestönsuojan rakentamisen työtunnit </a:t>
                </a:r>
              </a:p>
            </c:rich>
          </c:tx>
          <c:overlay val="0"/>
        </c:title>
        <c:numFmt formatCode="0" sourceLinked="1"/>
        <c:majorTickMark val="out"/>
        <c:minorTickMark val="none"/>
        <c:tickLblPos val="nextTo"/>
        <c:txPr>
          <a:bodyPr rot="0" vert="horz"/>
          <a:lstStyle/>
          <a:p>
            <a:pPr>
              <a:defRPr sz="1200" b="0" i="0" u="none" strike="noStrike" baseline="0">
                <a:solidFill>
                  <a:srgbClr val="000000"/>
                </a:solidFill>
                <a:latin typeface="Calibri"/>
                <a:ea typeface="Calibri"/>
                <a:cs typeface="Calibri"/>
              </a:defRPr>
            </a:pPr>
            <a:endParaRPr lang="fi-FI"/>
          </a:p>
        </c:txPr>
        <c:crossAx val="1934608032"/>
        <c:crosses val="autoZero"/>
        <c:crossBetween val="between"/>
      </c:valAx>
      <c:spPr>
        <a:ln>
          <a:solidFill>
            <a:sysClr val="windowText" lastClr="000000"/>
          </a:solidFill>
        </a:ln>
      </c:spPr>
    </c:plotArea>
    <c:legend>
      <c:legendPos val="r"/>
      <c:layout>
        <c:manualLayout>
          <c:xMode val="edge"/>
          <c:yMode val="edge"/>
          <c:x val="9.6933458842685047E-2"/>
          <c:y val="0.18750592293219984"/>
          <c:w val="0.60098775011766503"/>
          <c:h val="0.23996289457180683"/>
        </c:manualLayout>
      </c:layout>
      <c:overlay val="1"/>
      <c:txPr>
        <a:bodyPr/>
        <a:lstStyle/>
        <a:p>
          <a:pPr>
            <a:defRPr sz="1180" b="0" i="0" u="none" strike="noStrike" baseline="0">
              <a:solidFill>
                <a:srgbClr val="000000"/>
              </a:solidFill>
              <a:latin typeface="Calibri"/>
              <a:ea typeface="Calibri"/>
              <a:cs typeface="Calibri"/>
            </a:defRPr>
          </a:pPr>
          <a:endParaRPr lang="fi-FI"/>
        </a:p>
      </c:txPr>
    </c:legend>
    <c:plotVisOnly val="1"/>
    <c:dispBlanksAs val="gap"/>
    <c:showDLblsOverMax val="0"/>
  </c:chart>
  <c:spPr>
    <a:gradFill flip="none" rotWithShape="1">
      <a:gsLst>
        <a:gs pos="0">
          <a:srgbClr val="99FF66">
            <a:shade val="30000"/>
            <a:satMod val="115000"/>
          </a:srgbClr>
        </a:gs>
        <a:gs pos="50000">
          <a:srgbClr val="99FF66">
            <a:shade val="67500"/>
            <a:satMod val="115000"/>
          </a:srgbClr>
        </a:gs>
        <a:gs pos="100000">
          <a:srgbClr val="99FF66">
            <a:shade val="100000"/>
            <a:satMod val="115000"/>
          </a:srgbClr>
        </a:gs>
      </a:gsLst>
      <a:path path="circle">
        <a:fillToRect l="100000" t="100000"/>
      </a:path>
      <a:tileRect r="-100000" b="-100000"/>
    </a:gradFill>
    <a:ln>
      <a:solidFill>
        <a:sysClr val="windowText" lastClr="000000"/>
      </a:solidFill>
    </a:ln>
  </c:spPr>
  <c:txPr>
    <a:bodyPr/>
    <a:lstStyle/>
    <a:p>
      <a:pPr>
        <a:defRPr sz="1000" b="0" i="0" u="none" strike="noStrike" baseline="0">
          <a:solidFill>
            <a:srgbClr val="000000"/>
          </a:solidFill>
          <a:latin typeface="Calibri"/>
          <a:ea typeface="Calibri"/>
          <a:cs typeface="Calibri"/>
        </a:defRPr>
      </a:pPr>
      <a:endParaRPr lang="fi-FI"/>
    </a:p>
  </c:txPr>
  <c:externalData r:id="rId1">
    <c:autoUpdate val="0"/>
  </c:externalData>
</c:chartSpace>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13</Pages>
  <Words>524</Words>
  <Characters>4252</Characters>
  <Application>Microsoft Office Word</Application>
  <DocSecurity>0</DocSecurity>
  <Lines>35</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2</cp:revision>
  <dcterms:created xsi:type="dcterms:W3CDTF">2024-01-15T10:35:00Z</dcterms:created>
  <dcterms:modified xsi:type="dcterms:W3CDTF">2024-01-15T10:35:00Z</dcterms:modified>
</cp:coreProperties>
</file>